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医疗保障平台智能审核信息技术服务项目方案</w:t>
      </w:r>
    </w:p>
    <w:p>
      <w:pPr>
        <w:keepNext/>
        <w:keepLines/>
        <w:spacing w:line="413" w:lineRule="atLeast"/>
        <w:rPr>
          <w:rFonts w:ascii="黑体" w:hAnsi="黑体" w:eastAsia="黑体" w:cs="黑体"/>
          <w:bCs/>
          <w:sz w:val="32"/>
          <w:szCs w:val="22"/>
          <w:lang w:val="zh-CN"/>
        </w:rPr>
      </w:pPr>
    </w:p>
    <w:p>
      <w:pPr>
        <w:keepNext/>
        <w:keepLines/>
        <w:spacing w:line="413" w:lineRule="atLeast"/>
        <w:ind w:firstLine="640" w:firstLineChars="200"/>
        <w:rPr>
          <w:rFonts w:ascii="黑体" w:hAnsi="黑体" w:eastAsia="黑体" w:cs="黑体"/>
          <w:bCs/>
          <w:sz w:val="32"/>
          <w:szCs w:val="22"/>
          <w:lang w:val="zh-CN"/>
        </w:rPr>
      </w:pPr>
      <w:r>
        <w:rPr>
          <w:rFonts w:hint="eastAsia" w:ascii="黑体" w:hAnsi="黑体" w:eastAsia="黑体" w:cs="黑体"/>
          <w:bCs/>
          <w:sz w:val="32"/>
          <w:szCs w:val="22"/>
          <w:lang w:val="zh-CN"/>
        </w:rPr>
        <w:t>一、项目需求</w:t>
      </w:r>
    </w:p>
    <w:p>
      <w:pPr>
        <w:spacing w:line="560" w:lineRule="atLeast"/>
        <w:ind w:firstLine="560" w:firstLineChars="200"/>
        <w:jc w:val="left"/>
        <w:rPr>
          <w:rFonts w:asciiTheme="minorEastAsia" w:hAnsiTheme="minorEastAsia"/>
          <w:sz w:val="28"/>
          <w:szCs w:val="28"/>
        </w:rPr>
      </w:pPr>
      <w:r>
        <w:rPr>
          <w:rFonts w:hint="eastAsia" w:asciiTheme="minorEastAsia" w:hAnsiTheme="minorEastAsia"/>
          <w:sz w:val="28"/>
          <w:szCs w:val="28"/>
        </w:rPr>
        <w:t>省医疗保障平台智能审核系统上线后，按照省局的工作要求，我局在全市全面推进智能审核系统应用。但在推进过程中发现，智能审核系统规则配置、数据使用、初审复审、申诉反馈对信息技术的依赖性较强，我局无能力完成系统应用所需的技术支撑工作。</w:t>
      </w:r>
    </w:p>
    <w:p>
      <w:pPr>
        <w:spacing w:line="560" w:lineRule="atLeast"/>
        <w:ind w:firstLine="560" w:firstLineChars="200"/>
        <w:jc w:val="left"/>
        <w:rPr>
          <w:rFonts w:asciiTheme="minorEastAsia" w:hAnsiTheme="minorEastAsia"/>
          <w:sz w:val="28"/>
          <w:szCs w:val="28"/>
        </w:rPr>
      </w:pPr>
      <w:r>
        <w:rPr>
          <w:rFonts w:hint="eastAsia" w:asciiTheme="minorEastAsia" w:hAnsiTheme="minorEastAsia"/>
          <w:sz w:val="28"/>
          <w:szCs w:val="28"/>
        </w:rPr>
        <w:t>一是智能审核系统全新上线，系统的审核规则配置、初审复审、申诉反馈对技术支撑极其依赖，需要专业的信息技术团队来保障智能审核系统的正常应用。</w:t>
      </w:r>
    </w:p>
    <w:p>
      <w:pPr>
        <w:spacing w:line="560" w:lineRule="atLeast"/>
        <w:ind w:firstLine="560" w:firstLineChars="200"/>
        <w:jc w:val="left"/>
        <w:rPr>
          <w:rFonts w:asciiTheme="minorEastAsia" w:hAnsiTheme="minorEastAsia"/>
          <w:sz w:val="28"/>
          <w:szCs w:val="28"/>
        </w:rPr>
      </w:pPr>
      <w:r>
        <w:rPr>
          <w:rFonts w:hint="eastAsia" w:asciiTheme="minorEastAsia" w:hAnsiTheme="minorEastAsia"/>
          <w:sz w:val="28"/>
          <w:szCs w:val="28"/>
        </w:rPr>
        <w:t>二是根据省医疗保障平台数据管理要求，我局没有权限和能力完成智能审核所需数据的提取、管理、分析、使用，需要专业的信息技术团队来支撑智能审核系统的数据使用。</w:t>
      </w:r>
    </w:p>
    <w:p>
      <w:pPr>
        <w:keepNext/>
        <w:keepLines/>
        <w:spacing w:line="413" w:lineRule="atLeast"/>
        <w:ind w:left="420" w:leftChars="200" w:firstLine="160" w:firstLineChars="50"/>
        <w:rPr>
          <w:rFonts w:ascii="黑体" w:hAnsi="黑体" w:eastAsia="黑体" w:cs="黑体"/>
          <w:bCs/>
          <w:sz w:val="32"/>
          <w:szCs w:val="22"/>
        </w:rPr>
      </w:pPr>
      <w:r>
        <w:rPr>
          <w:rFonts w:hint="eastAsia" w:ascii="黑体" w:hAnsi="黑体" w:eastAsia="黑体" w:cs="黑体"/>
          <w:bCs/>
          <w:sz w:val="32"/>
          <w:szCs w:val="22"/>
          <w:lang w:val="zh-CN"/>
        </w:rPr>
        <w:t>二、项目</w:t>
      </w:r>
      <w:r>
        <w:rPr>
          <w:rFonts w:hint="eastAsia" w:ascii="黑体" w:hAnsi="黑体" w:eastAsia="黑体" w:cs="黑体"/>
          <w:bCs/>
          <w:sz w:val="32"/>
          <w:szCs w:val="22"/>
        </w:rPr>
        <w:t>内容</w:t>
      </w:r>
    </w:p>
    <w:p>
      <w:pPr>
        <w:adjustRightInd w:val="0"/>
        <w:snapToGrid w:val="0"/>
        <w:spacing w:line="588" w:lineRule="exact"/>
        <w:ind w:firstLine="565" w:firstLineChars="202"/>
        <w:rPr>
          <w:rFonts w:asciiTheme="minorEastAsia" w:hAnsiTheme="minorEastAsia" w:eastAsiaTheme="minorEastAsia"/>
          <w:b/>
          <w:bCs/>
          <w:sz w:val="28"/>
          <w:szCs w:val="28"/>
        </w:rPr>
      </w:pPr>
      <w:r>
        <w:rPr>
          <w:rFonts w:hint="eastAsia" w:asciiTheme="minorEastAsia" w:hAnsiTheme="minorEastAsia" w:eastAsiaTheme="minorEastAsia"/>
          <w:sz w:val="28"/>
          <w:szCs w:val="28"/>
        </w:rPr>
        <w:t>省医疗保障平台智能审核系统定时获取医院上传的数据，并根据预先设定好的规则参数，对数据进行逐一检查，筛选出违反规则的数据，打上相应的标记。审核人员进行人工审核时，可参考系统自动审核结果，重点审查系统发现的疑似问题数据，可根据人工判断，对疑似问题数据的审核结果作出调整。高级审核人员可以查看相关的审核报表。</w:t>
      </w:r>
      <w:r>
        <w:rPr>
          <w:rFonts w:hint="eastAsia" w:asciiTheme="minorEastAsia" w:hAnsiTheme="minorEastAsia" w:eastAsiaTheme="minorEastAsia"/>
          <w:sz w:val="28"/>
          <w:szCs w:val="28"/>
        </w:rPr>
        <w:br w:type="textWrapping"/>
      </w:r>
      <w:r>
        <w:rPr>
          <w:rFonts w:hint="eastAsia" w:asciiTheme="minorEastAsia" w:hAnsiTheme="minorEastAsia" w:eastAsiaTheme="minorEastAsia" w:cstheme="minorBidi"/>
          <w:b/>
          <w:bCs/>
          <w:sz w:val="28"/>
          <w:szCs w:val="28"/>
          <w:lang w:val="zh-CN"/>
        </w:rPr>
        <w:t xml:space="preserve">    （</w:t>
      </w:r>
      <w:r>
        <w:rPr>
          <w:rFonts w:hint="eastAsia" w:asciiTheme="minorEastAsia" w:hAnsiTheme="minorEastAsia" w:eastAsiaTheme="minorEastAsia" w:cstheme="minorBidi"/>
          <w:b/>
          <w:bCs/>
          <w:sz w:val="28"/>
          <w:szCs w:val="28"/>
        </w:rPr>
        <w:t>一）智能监管系统技术服务内容</w:t>
      </w:r>
      <w:r>
        <w:rPr>
          <w:rFonts w:hint="eastAsia" w:asciiTheme="minorEastAsia" w:hAnsiTheme="minorEastAsia" w:eastAsiaTheme="minorEastAsia" w:cstheme="minorBidi"/>
          <w:b/>
          <w:bCs/>
          <w:sz w:val="28"/>
          <w:szCs w:val="28"/>
        </w:rPr>
        <w:br w:type="textWrapping"/>
      </w:r>
      <w:r>
        <w:rPr>
          <w:rFonts w:hint="eastAsia" w:asciiTheme="minorEastAsia" w:hAnsiTheme="minorEastAsia" w:eastAsiaTheme="minorEastAsia" w:cstheme="minorBidi"/>
          <w:b/>
          <w:bCs/>
          <w:sz w:val="28"/>
          <w:szCs w:val="28"/>
        </w:rPr>
        <w:t xml:space="preserve">     </w:t>
      </w:r>
      <w:r>
        <w:rPr>
          <w:rFonts w:hint="eastAsia" w:asciiTheme="minorEastAsia" w:hAnsiTheme="minorEastAsia" w:eastAsiaTheme="minorEastAsia"/>
          <w:b/>
          <w:bCs/>
          <w:sz w:val="28"/>
          <w:szCs w:val="28"/>
        </w:rPr>
        <w:t>1、审核规则配置服务</w:t>
      </w:r>
    </w:p>
    <w:p>
      <w:pPr>
        <w:keepNext/>
        <w:keepLines/>
        <w:spacing w:line="413" w:lineRule="atLeast"/>
        <w:rPr>
          <w:rFonts w:asciiTheme="minorEastAsia" w:hAnsiTheme="minorEastAsia" w:eastAsiaTheme="minorEastAsia"/>
          <w:sz w:val="28"/>
          <w:szCs w:val="28"/>
          <w:lang w:val="zh-CN"/>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zh-CN"/>
        </w:rPr>
        <w:t>根据</w:t>
      </w:r>
      <w:r>
        <w:rPr>
          <w:rFonts w:hint="eastAsia" w:asciiTheme="minorEastAsia" w:hAnsiTheme="minorEastAsia" w:eastAsiaTheme="minorEastAsia"/>
          <w:sz w:val="28"/>
          <w:szCs w:val="28"/>
        </w:rPr>
        <w:t>咸宁</w:t>
      </w:r>
      <w:r>
        <w:rPr>
          <w:rFonts w:hint="eastAsia" w:asciiTheme="minorEastAsia" w:hAnsiTheme="minorEastAsia" w:eastAsiaTheme="minorEastAsia"/>
          <w:sz w:val="28"/>
          <w:szCs w:val="28"/>
          <w:lang w:val="zh-CN"/>
        </w:rPr>
        <w:t>市医保管理需求，结合国家医保智能审核规则，配置相应规则参数，或根据要求对使用规则进行增删，选取参与智能审核的规则配置表。</w:t>
      </w:r>
    </w:p>
    <w:tbl>
      <w:tblPr>
        <w:tblStyle w:val="4"/>
        <w:tblpPr w:leftFromText="180" w:rightFromText="180" w:vertAnchor="text" w:horzAnchor="page" w:tblpX="2063" w:tblpY="818"/>
        <w:tblOverlap w:val="never"/>
        <w:tblW w:w="0" w:type="auto"/>
        <w:tblInd w:w="0" w:type="dxa"/>
        <w:tblLayout w:type="autofit"/>
        <w:tblCellMar>
          <w:top w:w="0" w:type="dxa"/>
          <w:left w:w="108" w:type="dxa"/>
          <w:bottom w:w="0" w:type="dxa"/>
          <w:right w:w="108" w:type="dxa"/>
        </w:tblCellMar>
      </w:tblPr>
      <w:tblGrid>
        <w:gridCol w:w="885"/>
        <w:gridCol w:w="2342"/>
        <w:gridCol w:w="5170"/>
      </w:tblGrid>
      <w:tr>
        <w:tblPrEx>
          <w:tblCellMar>
            <w:top w:w="0" w:type="dxa"/>
            <w:left w:w="108" w:type="dxa"/>
            <w:bottom w:w="0" w:type="dxa"/>
            <w:right w:w="108" w:type="dxa"/>
          </w:tblCellMar>
        </w:tblPrEx>
        <w:trPr>
          <w:trHeight w:val="2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jc w:val="center"/>
              <w:rPr>
                <w:rFonts w:ascii="仿宋" w:hAnsi="仿宋" w:eastAsia="仿宋"/>
                <w:sz w:val="24"/>
                <w:szCs w:val="24"/>
                <w:lang w:val="zh-CN"/>
              </w:rPr>
            </w:pPr>
            <w:r>
              <w:rPr>
                <w:rFonts w:hint="eastAsia" w:ascii="仿宋" w:hAnsi="仿宋" w:eastAsia="仿宋"/>
                <w:sz w:val="24"/>
                <w:szCs w:val="24"/>
                <w:lang w:val="zh-CN"/>
              </w:rPr>
              <w:t>序号</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jc w:val="center"/>
              <w:rPr>
                <w:rFonts w:ascii="仿宋" w:hAnsi="仿宋" w:eastAsia="仿宋"/>
                <w:sz w:val="24"/>
                <w:szCs w:val="24"/>
                <w:lang w:val="zh-CN"/>
              </w:rPr>
            </w:pPr>
            <w:r>
              <w:rPr>
                <w:rFonts w:hint="eastAsia" w:ascii="仿宋" w:hAnsi="仿宋" w:eastAsia="仿宋"/>
                <w:sz w:val="24"/>
                <w:szCs w:val="24"/>
                <w:lang w:val="zh-CN"/>
              </w:rPr>
              <w:t>规则名称</w:t>
            </w:r>
          </w:p>
        </w:tc>
        <w:tc>
          <w:tcPr>
            <w:tcW w:w="5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jc w:val="center"/>
              <w:rPr>
                <w:rFonts w:ascii="仿宋" w:hAnsi="仿宋" w:eastAsia="仿宋"/>
                <w:sz w:val="24"/>
                <w:szCs w:val="24"/>
                <w:lang w:val="zh-CN"/>
              </w:rPr>
            </w:pPr>
            <w:r>
              <w:rPr>
                <w:rFonts w:hint="eastAsia" w:ascii="仿宋" w:hAnsi="仿宋" w:eastAsia="仿宋"/>
                <w:sz w:val="24"/>
                <w:szCs w:val="24"/>
                <w:lang w:val="zh-CN"/>
              </w:rPr>
              <w:t>规则描述</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限住院</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地市医保药品目录中医保支付范围的描述，限住院使用，该患者本次就诊不符合开具条件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限门诊</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地市医保药品目录中医保支付范围的描述，限门诊使用，该患者本次就诊不符合开具条件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限新生儿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地市医保药品目录中医保支付范围的描述，限新生儿使用，该患者本次就诊不符合开具条件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限儿童</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地市医保药品目录中医保支付范围的描述，限儿童使用，该患者本次就诊不符合开具条件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单次就诊成人开具儿童用药</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根据《药品说明书》根据药品说明书内容分析，成人（年龄下限18岁）开取适用于儿童的药品</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单次就诊诊疗项目限儿童使用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根据《医保诊疗项目收费标准》和临床诊疗规范，诊疗项目限儿童使用</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限下肢关节置换术</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地市医保药品目录中医保支付范围的描述，限下肢关节置换术使用，该患者本次就诊不符合开具条件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限器官移植</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地市医保药品目录中医保支付范围的描述，限器官移植使用，该患者本次就诊不符合开具条件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限急救</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地市医保药品目录中医保支付范围的描述，限急救使用，该患者本次就诊不符合开具条件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限放化疗后使用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地市医保药品目录中医保支付范围的描述，限放化疗后使用使用，该患者本次就诊不符合开具条件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限工伤保险</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地市医保药品目录中医保支付范围的描述，限工伤保险使用，该患者本次就诊不符合开具条件</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限生育保险</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地市医保药品目录中医保支付范围的描述，限生育保险使用，该患者本次就诊不符合开具条件</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单次就诊中药饮片单味复方不予支付</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根据本地《中药饮片单味不予支付列表》判定部分中草药单味复方开具均不予支付</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单次就诊中药饮片单味不予支付</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根据本地《中药饮片单味不予支付列表》判定部分中草药单味开具不予支付</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单次就诊诊断与患者性别不符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根据诊断学，诊断名称与患者性别不符</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单次就诊诊疗项目与患者性别不符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根据临床诊疗规范：某些诊疗项目有明确的适用患者性别范围，比如妇科 B超、某些性激素测定等。</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单次就诊医用材料与患者性别不符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根据材料产品适用范围说明和临床诊疗规范，某些耗材有明确的适用性别范围，比如“一次性使用无菌阴道冲洗器”。</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单次就诊性别用药禁忌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根据药品说明书中‘适应症’中的描述，诊断A应禁用药品B</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19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单日门诊同类药品重复（同给药途径）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根据《处方管理办法》第十八条、第十九条，药品A与药品 B为同类药品且药理作用相似，同时开具属于重复用药</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单日门诊同类药品重复（不分给药途径）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根据《处方管理办法》第十八条、第十九条，药品A与药品 B为同类药品且药理作用相似，同时开具属于重复用药</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单次门诊同类药品重复（同给药途径）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根据《处方管理办法》第十八条、第十九条，药品A与药品 B为同类药品且药理作用相似，同时开具属于重复用药</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单次门诊同类药品重复（不分给药途径）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根据《处方管理办法》第十八条、第十九条，药品A与药品 B为同类药品且药理作用相似，同时开具属于重复用药</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单次住院重复药品超量（限同一大类）</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根据《处方管理办法》第十八条、第十九条，本次就诊同时开具药品累计可用天数超过允许可带最大天数限制天数（慢性病药品21天、抗生素7天、普通药品14天）</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单次门诊重复药品超量（限同一大类）</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根据《处方管理办法》第十八条、第十九条，本次就诊同时开具药品种A/B，累计可用天数超过允许可带最大天数限制；慢性病药品21天、抗菌药品7天、普通药14天</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单次就诊诊疗项目重复收费</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根据本地《医保诊疗项目收费标准》中的项目内涵及其含义解读，两个项目同时收费属于重复收费</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单次住院诊疗项目使用匹配不合理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根据临床操作规范， 本次就诊开具了项目A，而没有开具与之搭配的项目B</w:t>
            </w:r>
          </w:p>
        </w:tc>
      </w:tr>
      <w:tr>
        <w:tblPrEx>
          <w:tblCellMar>
            <w:top w:w="0" w:type="dxa"/>
            <w:left w:w="108" w:type="dxa"/>
            <w:bottom w:w="0" w:type="dxa"/>
            <w:right w:w="108" w:type="dxa"/>
          </w:tblCellMar>
        </w:tblPrEx>
        <w:trPr>
          <w:trHeight w:val="2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单次就诊手术与材料使用不符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根据耗材注册信息中的产品适用范围说明，如“使用了〖医保中心项目名称/医院项目名称〗，而未检测到〖知识描述〗”</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诊疗项目超限定价格</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各地的《医保诊疗项目支付标准》项目已超最高限价</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29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单次住院同切口手术未折价</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根据地市的《医保诊疗项目收费标准》，患者本次住院同时开具项目A属同切口手术，同台进行应折价收费</w:t>
            </w:r>
          </w:p>
        </w:tc>
      </w:tr>
      <w:tr>
        <w:tblPrEx>
          <w:tblCellMar>
            <w:top w:w="0" w:type="dxa"/>
            <w:left w:w="108" w:type="dxa"/>
            <w:bottom w:w="0" w:type="dxa"/>
            <w:right w:w="108" w:type="dxa"/>
          </w:tblCellMar>
        </w:tblPrEx>
        <w:trPr>
          <w:trHeight w:val="57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单次住院期间诊疗项目超上限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大数据分析：根据大量临床实际数据分析该项目使用频次的正态分布情况，结合临床实践，分析得出最佳上限值，为同一个项目无限制的重复使用，提供最佳限定建议值；患者实际住院住院天数A天，与此期间项目B开具实际次数不符</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单日门诊诊疗项目超上限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根据大量临床实际数据分析该项目使用频次的正态分布情况，结合临床实践，分析得出最佳上限值，为同一个项目无限制的重复使用，提供最佳限定建议值</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单月门诊累计药品超量</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根据《药品说明书》对应药品说明书中‘用法’ 中的描述，药品已超过规定的阈值天最大月累计用药天数限制（慢性病药42天、抗菌药14天、普通药28天）</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单次门诊累计药品超量</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根据《药品说明书》对应药品说明书中‘用法’ 中的描述，当前患者门诊累计处方总剂量使用天数已超过规定的阈值；（慢性病药品21天、抗菌药7天、普通药14天）</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单日住院累计药品超量</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根据《药品说明书》对应药品说明书中‘用法’ 中的描述，药品超出单日最大剂量（慢性病药品21天、抗菌药7天、普通药14天）</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患者2日内同机构再入院</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根据《国家医疗保障局关于做好2019年医疗保障基金监管工作的通知》医保发〔2019〕14号，参保人一个月内在同一医院出院2天内又重新入院，则进行检出</w:t>
            </w:r>
          </w:p>
        </w:tc>
      </w:tr>
      <w:tr>
        <w:tblPrEx>
          <w:tblCellMar>
            <w:top w:w="0" w:type="dxa"/>
            <w:left w:w="108" w:type="dxa"/>
            <w:bottom w:w="0" w:type="dxa"/>
            <w:right w:w="108" w:type="dxa"/>
          </w:tblCellMar>
        </w:tblPrEx>
        <w:trPr>
          <w:trHeight w:val="484"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单月科室内存在分解住院行为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根据《国家医疗保障局关于做好2019年医疗保障基金监管工作的通知》医保发〔2019〕14号，患者在同一医疗机构出院再次在同一机构、同一科室、以同一诊断再次入院，属于分解入院</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单次住院药品费用占总费用比&gt;=50%</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根据地市的医保历史管理要求，单次住院药品费用占总费用比例超过规定上限</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单次住院检验检查费用占总费用比&gt;=60%</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根据地市的医保历史管理要求，本次住院检验检查费用占总费比例超过规定上限</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39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单次住院出院前5天无静脉输液</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根据地市医保管理经验，患者出院前5天无静脉输液</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单次就诊甲乙类药品费用占总药品费用比≤40%</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根据地市医保管理经验，单次就诊甲乙药品费用比例小于规定下限</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单次就诊老年患者用药禁忌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根据《药品说明书》对应药品说明书中‘禁忌’ 中的描述，处方中存在老年人（年龄下限为65岁）禁忌用药</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单次就诊儿童用药禁忌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根据《药品说明书》对应的药品说明书中‘儿童禁忌’ 中的描述，处方中存在儿童禁忌等级(阈值)的药品</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单次就诊药品疾病禁忌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根据《药品说明书》对应药品说明书中‘禁忌’ 中的描述，疾病A应禁用B药品</w:t>
            </w:r>
          </w:p>
        </w:tc>
      </w:tr>
      <w:tr>
        <w:tblPrEx>
          <w:tblCellMar>
            <w:top w:w="0" w:type="dxa"/>
            <w:left w:w="108" w:type="dxa"/>
            <w:bottom w:w="0" w:type="dxa"/>
            <w:right w:w="108" w:type="dxa"/>
          </w:tblCellMar>
        </w:tblPrEx>
        <w:trPr>
          <w:trHeight w:val="2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限定医院级别</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本次就诊开具了就诊医院不能使用的项目</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单日住院药品相互作用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根据《药品说明书》对应药品说明书中‘相互作用’ 中的描述，当日开具处方中存在【禁用等级】的药品</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单次门诊药品相互作用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根据《药品说明书》对应药品说明书中‘相互作用’ 中的描述，当日开具处方中存在【禁用等级】的药品</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男性患者就诊妇产科</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根据基本临床诊疗规范，参保人信息与就诊科室不符</w:t>
            </w:r>
          </w:p>
        </w:tc>
      </w:tr>
      <w:tr>
        <w:tblPrEx>
          <w:tblCellMar>
            <w:top w:w="0" w:type="dxa"/>
            <w:left w:w="108" w:type="dxa"/>
            <w:bottom w:w="0" w:type="dxa"/>
            <w:right w:w="108" w:type="dxa"/>
          </w:tblCellMar>
        </w:tblPrEx>
        <w:trPr>
          <w:trHeight w:val="2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成人就诊儿科</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根据基本临床诊疗规范，参保人年龄信息与就诊科室不符</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49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材料限科室</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根据耗材注册信息中的产品适用范围说明，A材料限B科室使用</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单次就诊诊疗项目限科室</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根据诊疗技术管理规范以及《三级综合医院医疗服务能力指南》，某些诊疗操作只限定于其功能与任务相适应的专业科室使用，以保障医疗质量和医疗安全。</w:t>
            </w:r>
          </w:p>
        </w:tc>
      </w:tr>
      <w:tr>
        <w:tblPrEx>
          <w:tblCellMar>
            <w:top w:w="0" w:type="dxa"/>
            <w:left w:w="108" w:type="dxa"/>
            <w:bottom w:w="0" w:type="dxa"/>
            <w:right w:w="108" w:type="dxa"/>
          </w:tblCellMar>
        </w:tblPrEx>
        <w:trPr>
          <w:trHeight w:val="2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一类切口手术后抗生素预防应用不合理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根据《抗菌药物临床应用指导原则》，手术使用档次偏高抗生素</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单次住院感染性疾病未用抗生素</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根据《抗菌药物临床应用指导原则》，（感染类）疾病应使用抗菌药而未使用</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统筹区内单次就诊抗菌药物限医师分级</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根据《抗菌药物临床应用指导原则（2015年版）》、《抗菌药物临床应用管理办法（2012年版）》</w:t>
            </w:r>
            <w:bookmarkStart w:id="7" w:name="_GoBack"/>
            <w:r>
              <w:rPr>
                <w:rFonts w:hint="eastAsia" w:ascii="仿宋" w:hAnsi="仿宋" w:eastAsia="仿宋"/>
                <w:sz w:val="24"/>
                <w:szCs w:val="24"/>
                <w:lang w:val="zh-CN"/>
              </w:rPr>
              <w:t>以及</w:t>
            </w:r>
            <w:bookmarkEnd w:id="7"/>
            <w:r>
              <w:rPr>
                <w:rFonts w:hint="eastAsia" w:ascii="仿宋" w:hAnsi="仿宋" w:eastAsia="仿宋"/>
                <w:sz w:val="24"/>
                <w:szCs w:val="24"/>
                <w:lang w:val="zh-CN"/>
              </w:rPr>
              <w:t>各地市抗菌药物临床分级管理目录，当前医师等级不可开具该药品</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单月存在重叠住院行为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根据中央和地市的医保管理要求：1、人社部发〔2011〕63号：……“按病种付费的，重点防范诊断升级、分解住院等行为”，患者本次住院期间存在其它住院记录</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单次住院出院前2天无药物治疗</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根据地市医保管理经验，患者出院前2天无药物治疗</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费用日期不在就诊期间内</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该条医嘱开具时间不再本次住院时间范围内</w:t>
            </w:r>
          </w:p>
        </w:tc>
      </w:tr>
      <w:tr>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临床路径某一时间段内必选项目筛查</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根据《临床路径》，主要诊断A的诊治过程中，路径时间内缺少了B的项目内容</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临床路径必选项目筛查</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根据《临床路径》，主要诊断A的诊治过程中，缺少了B的项目内容</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59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单次门诊中药配伍禁忌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根据《中医基础理论》《中医药学》《神农本草经》，“十九畏”和“十八反”的中药饮片同时开取</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60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单次就诊诊疗项目禁忌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根据临床诊疗规范：某些诊疗项目有明确的禁忌症，比如磁共振平扫装有心脏起搏器者禁忌等。</w:t>
            </w:r>
          </w:p>
        </w:tc>
      </w:tr>
      <w:tr>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61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单次就诊项目禁忌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根据临床诊疗规范：某些诊疗项目有明确的禁忌症，比如磁共振平扫装有心脏起搏器者禁忌等。</w:t>
            </w:r>
          </w:p>
        </w:tc>
      </w:tr>
      <w:tr>
        <w:tblPrEx>
          <w:tblCellMar>
            <w:top w:w="0" w:type="dxa"/>
            <w:left w:w="108" w:type="dxa"/>
            <w:bottom w:w="0" w:type="dxa"/>
            <w:right w:w="108" w:type="dxa"/>
          </w:tblCellMar>
        </w:tblPrEx>
        <w:trPr>
          <w:trHeight w:val="30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keepLines/>
              <w:jc w:val="center"/>
              <w:rPr>
                <w:rFonts w:ascii="仿宋" w:hAnsi="仿宋" w:eastAsia="仿宋"/>
                <w:sz w:val="24"/>
                <w:szCs w:val="24"/>
                <w:lang w:val="zh-CN"/>
              </w:rPr>
            </w:pPr>
            <w:r>
              <w:rPr>
                <w:rFonts w:hint="eastAsia" w:ascii="仿宋" w:hAnsi="仿宋" w:eastAsia="仿宋"/>
                <w:sz w:val="24"/>
                <w:szCs w:val="24"/>
                <w:lang w:val="zh-CN"/>
              </w:rPr>
              <w:t>62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单次就诊超适应症用药</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rPr>
                <w:rFonts w:ascii="仿宋" w:hAnsi="仿宋" w:eastAsia="仿宋"/>
                <w:sz w:val="24"/>
                <w:szCs w:val="24"/>
                <w:lang w:val="zh-CN"/>
              </w:rPr>
            </w:pPr>
            <w:r>
              <w:rPr>
                <w:rFonts w:hint="eastAsia" w:ascii="仿宋" w:hAnsi="仿宋" w:eastAsia="仿宋"/>
                <w:sz w:val="24"/>
                <w:szCs w:val="24"/>
                <w:lang w:val="zh-CN"/>
              </w:rPr>
              <w:t>根据《药品说明书》：若超出药品说明书中‘适应症’中的描述和有临床共识的处方外用法，则认为超适应症用药。</w:t>
            </w:r>
          </w:p>
        </w:tc>
      </w:tr>
    </w:tbl>
    <w:p>
      <w:pPr>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2、智能审核初审筛查</w:t>
      </w:r>
    </w:p>
    <w:p>
      <w:pPr>
        <w:ind w:firstLine="562" w:firstLineChars="201"/>
        <w:rPr>
          <w:rFonts w:asciiTheme="majorEastAsia" w:hAnsiTheme="majorEastAsia" w:eastAsiaTheme="majorEastAsia"/>
          <w:color w:val="333333"/>
          <w:sz w:val="28"/>
          <w:szCs w:val="28"/>
          <w:highlight w:val="white"/>
          <w:lang w:val="zh-CN"/>
        </w:rPr>
      </w:pPr>
      <w:r>
        <w:rPr>
          <w:rFonts w:hint="eastAsia" w:asciiTheme="majorEastAsia" w:hAnsiTheme="majorEastAsia" w:eastAsiaTheme="majorEastAsia"/>
          <w:sz w:val="28"/>
          <w:szCs w:val="28"/>
        </w:rPr>
        <w:t>省医疗保障平台智能审核系统</w:t>
      </w:r>
      <w:r>
        <w:rPr>
          <w:rFonts w:hint="eastAsia" w:asciiTheme="majorEastAsia" w:hAnsiTheme="majorEastAsia" w:eastAsiaTheme="majorEastAsia"/>
          <w:sz w:val="28"/>
          <w:szCs w:val="28"/>
          <w:lang w:val="zh-CN"/>
        </w:rPr>
        <w:t>根据我局审核规则要求进行数据审核，审核结果需要专业人员审阅判定，规则逻辑，扣款结果是否异常，排除异常部分和原因说明，向我局提供初审结果。</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b/>
          <w:bCs/>
          <w:sz w:val="28"/>
          <w:szCs w:val="28"/>
        </w:rPr>
        <w:t>3、医药机构申诉反馈</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zh-CN"/>
        </w:rPr>
        <w:t>向医疗机构下发初审结果，医疗机构根据初审结果在</w:t>
      </w:r>
      <w:r>
        <w:rPr>
          <w:rFonts w:hint="eastAsia" w:asciiTheme="majorEastAsia" w:hAnsiTheme="majorEastAsia" w:eastAsiaTheme="majorEastAsia"/>
          <w:sz w:val="28"/>
          <w:szCs w:val="28"/>
        </w:rPr>
        <w:t>省医疗保障平台智能审核系统</w:t>
      </w:r>
      <w:r>
        <w:rPr>
          <w:rFonts w:hint="eastAsia" w:asciiTheme="majorEastAsia" w:hAnsiTheme="majorEastAsia" w:eastAsiaTheme="majorEastAsia"/>
          <w:sz w:val="28"/>
          <w:szCs w:val="28"/>
          <w:lang w:val="zh-CN"/>
        </w:rPr>
        <w:t>上进行反馈、申诉，服务人员根据医疗机构反馈结果进行复审，逐条核验违规情况与反馈材料，逐一匹配，将医疗机构反馈后认为合理部分提出，向医保提交复审结果，经医保确认后推送经办系统。</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b/>
          <w:bCs/>
          <w:sz w:val="28"/>
          <w:szCs w:val="28"/>
        </w:rPr>
        <w:t>4、审核结果报告提交</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zh-CN"/>
        </w:rPr>
        <w:t>根据审核系统的审核结果，对统筹区域内的不同的审核主体，如医院、药店、医生、参保人等的医保费用使用情况进行数据挖掘和分析。可以在不同层面和不同角度对本地区的医保基金的违规情况进行分析，从而发现影响本地区或本医疗机构医保费用支出的主要因素，以利基金管理者和决策者及时调整管理重点和政策规定。</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zh-CN"/>
        </w:rPr>
        <w:t>决策管理者可以通过该系统全面了解本地区违规问题单据的数量、违规问题占比、违规问题的类型、占比等，以及各定点医疗机构的违规情况以及各参保人的违规情况；具体经办管理者可以具体对每一个医疗机构、科室、医生、参保人进行医保费用的使用情况进行分析，并进行横向和纵向的数据对比，及时发现有异常医疗行为的医疗机构、科室、医生和参保人。</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b/>
          <w:bCs/>
          <w:sz w:val="28"/>
          <w:szCs w:val="28"/>
        </w:rPr>
        <w:t xml:space="preserve">    5、审核</w:t>
      </w:r>
      <w:r>
        <w:rPr>
          <w:rFonts w:hint="eastAsia" w:asciiTheme="majorEastAsia" w:hAnsiTheme="majorEastAsia" w:eastAsiaTheme="majorEastAsia"/>
          <w:b/>
          <w:bCs/>
          <w:sz w:val="28"/>
          <w:szCs w:val="28"/>
          <w:lang w:val="zh-CN"/>
        </w:rPr>
        <w:t>疑点数据筛查</w:t>
      </w:r>
    </w:p>
    <w:p>
      <w:pPr>
        <w:ind w:firstLine="562" w:firstLineChars="201"/>
        <w:rPr>
          <w:rFonts w:hint="eastAsia" w:asciiTheme="majorEastAsia" w:hAnsiTheme="majorEastAsia" w:eastAsiaTheme="majorEastAsia"/>
          <w:sz w:val="28"/>
          <w:szCs w:val="28"/>
          <w:lang w:val="zh-CN"/>
        </w:rPr>
      </w:pPr>
      <w:r>
        <w:rPr>
          <w:rFonts w:hint="eastAsia" w:asciiTheme="majorEastAsia" w:hAnsiTheme="majorEastAsia" w:eastAsiaTheme="majorEastAsia"/>
          <w:color w:val="333333"/>
          <w:sz w:val="28"/>
          <w:szCs w:val="28"/>
          <w:highlight w:val="white"/>
          <w:lang w:val="zh-CN"/>
        </w:rPr>
        <w:t>按我局管理要求，协助进行平台数据分析，进行疑点筛查，做为稽核、专项检查依据或形成相应的审核报表。</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b/>
          <w:bCs/>
          <w:sz w:val="28"/>
          <w:szCs w:val="28"/>
        </w:rPr>
        <w:t>6、智能审核培训服务</w:t>
      </w:r>
      <w:r>
        <w:rPr>
          <w:rFonts w:hint="eastAsia" w:asciiTheme="majorEastAsia" w:hAnsiTheme="majorEastAsia" w:eastAsiaTheme="majorEastAsia"/>
          <w:b/>
          <w:bCs/>
          <w:sz w:val="28"/>
          <w:szCs w:val="28"/>
        </w:rPr>
        <w:br w:type="textWrapping"/>
      </w:r>
      <w:r>
        <w:rPr>
          <w:rFonts w:hint="eastAsia" w:asciiTheme="majorEastAsia" w:hAnsiTheme="majorEastAsia" w:eastAsiaTheme="majorEastAsia"/>
          <w:b/>
          <w:bCs/>
          <w:sz w:val="28"/>
          <w:szCs w:val="28"/>
        </w:rPr>
        <w:t xml:space="preserve">    </w:t>
      </w:r>
      <w:r>
        <w:rPr>
          <w:rFonts w:hint="eastAsia" w:asciiTheme="majorEastAsia" w:hAnsiTheme="majorEastAsia" w:eastAsiaTheme="majorEastAsia"/>
          <w:sz w:val="28"/>
          <w:szCs w:val="28"/>
          <w:lang w:val="zh-CN"/>
        </w:rPr>
        <w:t>根据我局管理和工作需要，为我局相应业务科室及辖区内医疗机构进行智能审核系统业务、操作培训。每服务年度提供</w:t>
      </w: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lang w:val="zh-CN"/>
        </w:rPr>
        <w:t>次培训服务。</w:t>
      </w:r>
    </w:p>
    <w:p>
      <w:pPr>
        <w:ind w:firstLine="564" w:firstLineChars="201"/>
        <w:rPr>
          <w:rFonts w:hint="eastAsia" w:asciiTheme="majorEastAsia" w:hAnsiTheme="majorEastAsia" w:eastAsiaTheme="majorEastAsia"/>
          <w:b/>
          <w:sz w:val="28"/>
          <w:szCs w:val="28"/>
          <w:lang w:val="zh-CN"/>
        </w:rPr>
      </w:pPr>
      <w:r>
        <w:rPr>
          <w:rFonts w:hint="eastAsia" w:asciiTheme="majorEastAsia" w:hAnsiTheme="majorEastAsia" w:eastAsiaTheme="majorEastAsia"/>
          <w:b/>
          <w:sz w:val="28"/>
          <w:szCs w:val="28"/>
          <w:lang w:val="zh-CN"/>
        </w:rPr>
        <w:t>7、智能审核相关考核保障</w:t>
      </w:r>
    </w:p>
    <w:p>
      <w:pPr>
        <w:ind w:firstLine="562" w:firstLineChars="201"/>
        <w:rPr>
          <w:rFonts w:cs="黑体" w:asciiTheme="majorEastAsia" w:hAnsiTheme="majorEastAsia" w:eastAsiaTheme="majorEastAsia"/>
          <w:bCs/>
          <w:sz w:val="28"/>
          <w:szCs w:val="28"/>
        </w:rPr>
      </w:pPr>
      <w:r>
        <w:rPr>
          <w:rFonts w:hint="eastAsia" w:asciiTheme="majorEastAsia" w:hAnsiTheme="majorEastAsia" w:eastAsiaTheme="majorEastAsia"/>
          <w:sz w:val="28"/>
          <w:szCs w:val="28"/>
          <w:lang w:val="zh-CN"/>
        </w:rPr>
        <w:t>根据省市医保局的工作需要和综合考核要求，按照年度工作要点和考核指标支撑、保障、完成与智能审核相关的工作任务。</w:t>
      </w:r>
    </w:p>
    <w:p>
      <w:pPr>
        <w:adjustRightInd w:val="0"/>
        <w:snapToGrid w:val="0"/>
        <w:spacing w:line="588" w:lineRule="exact"/>
        <w:ind w:firstLine="421" w:firstLineChars="150"/>
        <w:rPr>
          <w:rFonts w:asciiTheme="majorEastAsia" w:hAnsiTheme="majorEastAsia" w:eastAsiaTheme="majorEastAsia" w:cstheme="minorBidi"/>
          <w:b/>
          <w:bCs/>
          <w:sz w:val="28"/>
          <w:szCs w:val="28"/>
        </w:rPr>
      </w:pPr>
      <w:r>
        <w:rPr>
          <w:rFonts w:hint="eastAsia" w:asciiTheme="majorEastAsia" w:hAnsiTheme="majorEastAsia" w:eastAsiaTheme="majorEastAsia" w:cstheme="minorBidi"/>
          <w:b/>
          <w:bCs/>
          <w:sz w:val="28"/>
          <w:szCs w:val="28"/>
          <w:lang w:val="zh-CN"/>
        </w:rPr>
        <w:t>（</w:t>
      </w:r>
      <w:r>
        <w:rPr>
          <w:rFonts w:hint="eastAsia" w:asciiTheme="majorEastAsia" w:hAnsiTheme="majorEastAsia" w:eastAsiaTheme="majorEastAsia" w:cstheme="minorBidi"/>
          <w:b/>
          <w:bCs/>
          <w:sz w:val="28"/>
          <w:szCs w:val="28"/>
        </w:rPr>
        <w:t>二）</w:t>
      </w:r>
      <w:r>
        <w:rPr>
          <w:rFonts w:hint="eastAsia" w:asciiTheme="minorEastAsia" w:hAnsiTheme="minorEastAsia" w:eastAsiaTheme="minorEastAsia" w:cstheme="minorBidi"/>
          <w:b/>
          <w:bCs/>
          <w:sz w:val="28"/>
          <w:szCs w:val="28"/>
        </w:rPr>
        <w:t>智能监管系统</w:t>
      </w:r>
      <w:r>
        <w:rPr>
          <w:rFonts w:hint="eastAsia" w:asciiTheme="majorEastAsia" w:hAnsiTheme="majorEastAsia" w:eastAsiaTheme="majorEastAsia" w:cstheme="minorBidi"/>
          <w:b/>
          <w:bCs/>
          <w:sz w:val="28"/>
          <w:szCs w:val="28"/>
        </w:rPr>
        <w:t>工作流程</w:t>
      </w:r>
    </w:p>
    <w:p>
      <w:pPr>
        <w:adjustRightInd w:val="0"/>
        <w:snapToGrid w:val="0"/>
        <w:spacing w:line="588" w:lineRule="exact"/>
        <w:ind w:firstLine="564" w:firstLineChars="201"/>
        <w:rPr>
          <w:rFonts w:asciiTheme="majorEastAsia" w:hAnsiTheme="majorEastAsia" w:eastAsiaTheme="majorEastAsia"/>
          <w:sz w:val="28"/>
          <w:szCs w:val="28"/>
        </w:rPr>
      </w:pPr>
      <w:r>
        <w:rPr>
          <w:rFonts w:hint="eastAsia" w:asciiTheme="majorEastAsia" w:hAnsiTheme="majorEastAsia" w:eastAsiaTheme="majorEastAsia" w:cstheme="minorBidi"/>
          <w:b/>
          <w:bCs/>
          <w:sz w:val="28"/>
          <w:szCs w:val="28"/>
        </w:rPr>
        <w:t>1、</w:t>
      </w:r>
      <w:r>
        <w:rPr>
          <w:rFonts w:asciiTheme="majorEastAsia" w:hAnsiTheme="majorEastAsia" w:eastAsiaTheme="majorEastAsia"/>
          <w:b/>
          <w:bCs/>
          <w:sz w:val="28"/>
          <w:szCs w:val="28"/>
        </w:rPr>
        <w:t>智能审核数据服务</w:t>
      </w:r>
    </w:p>
    <w:p>
      <w:pPr>
        <w:adjustRightInd w:val="0"/>
        <w:snapToGrid w:val="0"/>
        <w:spacing w:line="588" w:lineRule="exact"/>
        <w:ind w:firstLine="562" w:firstLineChars="201"/>
        <w:rPr>
          <w:rFonts w:cs="宋体" w:asciiTheme="majorEastAsia" w:hAnsiTheme="majorEastAsia" w:eastAsiaTheme="majorEastAsia"/>
          <w:sz w:val="28"/>
          <w:szCs w:val="28"/>
        </w:rPr>
      </w:pPr>
      <w:r>
        <w:rPr>
          <w:rFonts w:cs="宋体" w:asciiTheme="majorEastAsia" w:hAnsiTheme="majorEastAsia" w:eastAsiaTheme="majorEastAsia"/>
          <w:sz w:val="28"/>
          <w:szCs w:val="28"/>
        </w:rPr>
        <w:t>1</w:t>
      </w:r>
      <w:r>
        <w:rPr>
          <w:rFonts w:hint="eastAsia" w:cs="宋体" w:asciiTheme="majorEastAsia" w:hAnsiTheme="majorEastAsia" w:eastAsiaTheme="majorEastAsia"/>
          <w:sz w:val="28"/>
          <w:szCs w:val="28"/>
        </w:rPr>
        <w:t>）</w:t>
      </w:r>
      <w:r>
        <w:rPr>
          <w:rFonts w:cs="宋体" w:asciiTheme="majorEastAsia" w:hAnsiTheme="majorEastAsia" w:eastAsiaTheme="majorEastAsia"/>
          <w:sz w:val="28"/>
          <w:szCs w:val="28"/>
        </w:rPr>
        <w:t>按照</w:t>
      </w:r>
      <w:r>
        <w:rPr>
          <w:rFonts w:hint="eastAsia" w:asciiTheme="majorEastAsia" w:hAnsiTheme="majorEastAsia" w:eastAsiaTheme="majorEastAsia"/>
          <w:sz w:val="28"/>
          <w:szCs w:val="28"/>
        </w:rPr>
        <w:t>我</w:t>
      </w:r>
      <w:r>
        <w:rPr>
          <w:rFonts w:cs="宋体" w:asciiTheme="majorEastAsia" w:hAnsiTheme="majorEastAsia" w:eastAsiaTheme="majorEastAsia"/>
          <w:sz w:val="28"/>
          <w:szCs w:val="28"/>
        </w:rPr>
        <w:t>局要求，完成</w:t>
      </w:r>
      <w:r>
        <w:rPr>
          <w:rFonts w:hint="eastAsia" w:asciiTheme="majorEastAsia" w:hAnsiTheme="majorEastAsia" w:eastAsiaTheme="majorEastAsia"/>
          <w:sz w:val="28"/>
          <w:szCs w:val="28"/>
        </w:rPr>
        <w:t>咸宁</w:t>
      </w:r>
      <w:r>
        <w:rPr>
          <w:rFonts w:cs="宋体" w:asciiTheme="majorEastAsia" w:hAnsiTheme="majorEastAsia" w:eastAsiaTheme="majorEastAsia"/>
          <w:sz w:val="28"/>
          <w:szCs w:val="28"/>
        </w:rPr>
        <w:t>市智能监管规则建立工作，包含但不限于按照国家、省、市</w:t>
      </w:r>
      <w:r>
        <w:rPr>
          <w:rFonts w:hint="eastAsia" w:asciiTheme="majorEastAsia" w:hAnsiTheme="majorEastAsia" w:eastAsiaTheme="majorEastAsia"/>
          <w:sz w:val="28"/>
          <w:szCs w:val="28"/>
        </w:rPr>
        <w:t>医疗保障</w:t>
      </w:r>
      <w:r>
        <w:rPr>
          <w:rFonts w:cs="宋体" w:asciiTheme="majorEastAsia" w:hAnsiTheme="majorEastAsia" w:eastAsiaTheme="majorEastAsia"/>
          <w:sz w:val="28"/>
          <w:szCs w:val="28"/>
        </w:rPr>
        <w:t>局要求进行规则配置、新增；</w:t>
      </w:r>
    </w:p>
    <w:p>
      <w:pPr>
        <w:adjustRightInd w:val="0"/>
        <w:snapToGrid w:val="0"/>
        <w:spacing w:line="588" w:lineRule="exact"/>
        <w:ind w:firstLine="562" w:firstLineChars="201"/>
        <w:rPr>
          <w:rFonts w:asciiTheme="majorEastAsia" w:hAnsiTheme="majorEastAsia" w:eastAsiaTheme="majorEastAsia"/>
          <w:sz w:val="28"/>
          <w:szCs w:val="28"/>
        </w:rPr>
      </w:pPr>
      <w:r>
        <w:rPr>
          <w:rFonts w:cs="宋体" w:asciiTheme="majorEastAsia" w:hAnsiTheme="majorEastAsia" w:eastAsiaTheme="majorEastAsia"/>
          <w:sz w:val="28"/>
          <w:szCs w:val="28"/>
        </w:rPr>
        <w:t>2</w:t>
      </w:r>
      <w:r>
        <w:rPr>
          <w:rFonts w:hint="eastAsia" w:cs="宋体" w:asciiTheme="majorEastAsia" w:hAnsiTheme="majorEastAsia" w:eastAsiaTheme="majorEastAsia"/>
          <w:sz w:val="28"/>
          <w:szCs w:val="28"/>
        </w:rPr>
        <w:t>）</w:t>
      </w:r>
      <w:r>
        <w:rPr>
          <w:rFonts w:asciiTheme="majorEastAsia" w:hAnsiTheme="majorEastAsia" w:eastAsiaTheme="majorEastAsia"/>
          <w:sz w:val="28"/>
          <w:szCs w:val="28"/>
        </w:rPr>
        <w:t>从省医保信息平台智能监管子系统下载并核查初审结果；</w:t>
      </w:r>
    </w:p>
    <w:p>
      <w:pPr>
        <w:adjustRightInd w:val="0"/>
        <w:snapToGrid w:val="0"/>
        <w:spacing w:line="588" w:lineRule="exact"/>
        <w:ind w:firstLine="562" w:firstLineChars="201"/>
        <w:rPr>
          <w:rFonts w:asciiTheme="majorEastAsia" w:hAnsiTheme="majorEastAsia" w:eastAsiaTheme="majorEastAsia"/>
          <w:sz w:val="28"/>
          <w:szCs w:val="28"/>
        </w:rPr>
      </w:pPr>
      <w:r>
        <w:rPr>
          <w:rFonts w:asciiTheme="majorEastAsia" w:hAnsiTheme="majorEastAsia" w:eastAsiaTheme="majorEastAsia"/>
          <w:sz w:val="28"/>
          <w:szCs w:val="28"/>
        </w:rPr>
        <w:t>3</w:t>
      </w:r>
      <w:r>
        <w:rPr>
          <w:rFonts w:hint="eastAsia" w:asciiTheme="majorEastAsia" w:hAnsiTheme="majorEastAsia" w:eastAsiaTheme="majorEastAsia"/>
          <w:sz w:val="28"/>
          <w:szCs w:val="28"/>
        </w:rPr>
        <w:t>）</w:t>
      </w:r>
      <w:r>
        <w:rPr>
          <w:rFonts w:asciiTheme="majorEastAsia" w:hAnsiTheme="majorEastAsia" w:eastAsiaTheme="majorEastAsia"/>
          <w:sz w:val="28"/>
          <w:szCs w:val="28"/>
        </w:rPr>
        <w:t>按</w:t>
      </w:r>
      <w:r>
        <w:rPr>
          <w:rFonts w:hint="eastAsia" w:asciiTheme="majorEastAsia" w:hAnsiTheme="majorEastAsia" w:eastAsiaTheme="majorEastAsia"/>
          <w:sz w:val="28"/>
          <w:szCs w:val="28"/>
        </w:rPr>
        <w:t>我</w:t>
      </w:r>
      <w:r>
        <w:rPr>
          <w:rFonts w:cs="宋体" w:asciiTheme="majorEastAsia" w:hAnsiTheme="majorEastAsia" w:eastAsiaTheme="majorEastAsia"/>
          <w:sz w:val="28"/>
          <w:szCs w:val="28"/>
        </w:rPr>
        <w:t>局确定的监管规则，对结果进行核验，筛选出可执行扣款的</w:t>
      </w:r>
      <w:r>
        <w:rPr>
          <w:rFonts w:asciiTheme="majorEastAsia" w:hAnsiTheme="majorEastAsia" w:eastAsiaTheme="majorEastAsia"/>
          <w:sz w:val="28"/>
          <w:szCs w:val="28"/>
        </w:rPr>
        <w:t>单据，在</w:t>
      </w:r>
      <w:r>
        <w:rPr>
          <w:rFonts w:hint="eastAsia" w:asciiTheme="majorEastAsia" w:hAnsiTheme="majorEastAsia" w:eastAsiaTheme="majorEastAsia"/>
          <w:sz w:val="28"/>
          <w:szCs w:val="28"/>
        </w:rPr>
        <w:t>智能审核系统</w:t>
      </w:r>
      <w:r>
        <w:rPr>
          <w:rFonts w:asciiTheme="majorEastAsia" w:hAnsiTheme="majorEastAsia" w:eastAsiaTheme="majorEastAsia"/>
          <w:sz w:val="28"/>
          <w:szCs w:val="28"/>
        </w:rPr>
        <w:t>中完成初审</w:t>
      </w:r>
      <w:r>
        <w:rPr>
          <w:rFonts w:hint="eastAsia" w:asciiTheme="majorEastAsia" w:hAnsiTheme="majorEastAsia" w:eastAsiaTheme="majorEastAsia"/>
          <w:sz w:val="28"/>
          <w:szCs w:val="28"/>
        </w:rPr>
        <w:t>；</w:t>
      </w:r>
    </w:p>
    <w:p>
      <w:pPr>
        <w:adjustRightInd w:val="0"/>
        <w:spacing w:line="588" w:lineRule="exact"/>
        <w:ind w:firstLine="562" w:firstLineChars="201"/>
        <w:rPr>
          <w:rFonts w:cs="仿宋_GB2312" w:asciiTheme="majorEastAsia" w:hAnsiTheme="majorEastAsia" w:eastAsiaTheme="majorEastAsia"/>
          <w:sz w:val="28"/>
          <w:szCs w:val="28"/>
        </w:rPr>
      </w:pPr>
      <w:r>
        <w:rPr>
          <w:rFonts w:cs="仿宋_GB2312" w:asciiTheme="majorEastAsia" w:hAnsiTheme="majorEastAsia" w:eastAsiaTheme="majorEastAsia"/>
          <w:sz w:val="28"/>
          <w:szCs w:val="28"/>
        </w:rPr>
        <w:t>4</w:t>
      </w:r>
      <w:r>
        <w:rPr>
          <w:rFonts w:hint="eastAsia" w:cs="仿宋_GB2312" w:asciiTheme="majorEastAsia" w:hAnsiTheme="majorEastAsia" w:eastAsiaTheme="majorEastAsia"/>
          <w:sz w:val="28"/>
          <w:szCs w:val="28"/>
        </w:rPr>
        <w:t>）</w:t>
      </w:r>
      <w:r>
        <w:rPr>
          <w:rFonts w:cs="仿宋_GB2312" w:asciiTheme="majorEastAsia" w:hAnsiTheme="majorEastAsia" w:eastAsiaTheme="majorEastAsia"/>
          <w:sz w:val="28"/>
          <w:szCs w:val="28"/>
        </w:rPr>
        <w:t>对可扣款规则下的扣款明细进行复核，剔除有疑点的扣款明细</w:t>
      </w:r>
      <w:r>
        <w:rPr>
          <w:rFonts w:hint="eastAsia" w:asciiTheme="majorEastAsia" w:hAnsiTheme="majorEastAsia" w:eastAsiaTheme="majorEastAsia"/>
          <w:sz w:val="28"/>
          <w:szCs w:val="28"/>
        </w:rPr>
        <w:t>；</w:t>
      </w:r>
    </w:p>
    <w:p>
      <w:pPr>
        <w:adjustRightInd w:val="0"/>
        <w:snapToGrid w:val="0"/>
        <w:spacing w:line="588" w:lineRule="exact"/>
        <w:ind w:firstLine="562" w:firstLineChars="201"/>
        <w:rPr>
          <w:rFonts w:cs="仿宋_GB2312" w:asciiTheme="majorEastAsia" w:hAnsiTheme="majorEastAsia" w:eastAsiaTheme="majorEastAsia"/>
          <w:sz w:val="28"/>
          <w:szCs w:val="28"/>
        </w:rPr>
      </w:pPr>
      <w:r>
        <w:rPr>
          <w:rFonts w:cs="仿宋_GB2312" w:asciiTheme="majorEastAsia" w:hAnsiTheme="majorEastAsia" w:eastAsiaTheme="majorEastAsia"/>
          <w:sz w:val="28"/>
          <w:szCs w:val="28"/>
        </w:rPr>
        <w:t>5</w:t>
      </w:r>
      <w:r>
        <w:rPr>
          <w:rFonts w:hint="eastAsia" w:cs="仿宋_GB2312" w:asciiTheme="majorEastAsia" w:hAnsiTheme="majorEastAsia" w:eastAsiaTheme="majorEastAsia"/>
          <w:sz w:val="28"/>
          <w:szCs w:val="28"/>
        </w:rPr>
        <w:t>）</w:t>
      </w:r>
      <w:r>
        <w:rPr>
          <w:rFonts w:cs="仿宋_GB2312" w:asciiTheme="majorEastAsia" w:hAnsiTheme="majorEastAsia" w:eastAsiaTheme="majorEastAsia"/>
          <w:sz w:val="28"/>
          <w:szCs w:val="28"/>
        </w:rPr>
        <w:t>提供平台数据</w:t>
      </w:r>
      <w:r>
        <w:rPr>
          <w:rFonts w:hint="eastAsia" w:asciiTheme="majorEastAsia" w:hAnsiTheme="majorEastAsia" w:eastAsiaTheme="majorEastAsia"/>
          <w:sz w:val="28"/>
          <w:szCs w:val="28"/>
        </w:rPr>
        <w:t>分析</w:t>
      </w:r>
      <w:r>
        <w:rPr>
          <w:rFonts w:cs="仿宋_GB2312" w:asciiTheme="majorEastAsia" w:hAnsiTheme="majorEastAsia" w:eastAsiaTheme="majorEastAsia"/>
          <w:sz w:val="28"/>
          <w:szCs w:val="28"/>
        </w:rPr>
        <w:t>服务</w:t>
      </w:r>
      <w:r>
        <w:rPr>
          <w:rFonts w:hint="eastAsia" w:asciiTheme="majorEastAsia" w:hAnsiTheme="majorEastAsia" w:eastAsiaTheme="majorEastAsia"/>
          <w:sz w:val="28"/>
          <w:szCs w:val="28"/>
        </w:rPr>
        <w:t>和医保反馈沟通服务，配合我局梳理各种查实的医疗保障违规案例并汇总分类，综合分析研究，从专业角度提出合理化意见，并提出相应的解决办法。每月书面报告一次；</w:t>
      </w:r>
    </w:p>
    <w:p>
      <w:pPr>
        <w:adjustRightInd w:val="0"/>
        <w:snapToGrid w:val="0"/>
        <w:spacing w:line="588" w:lineRule="exact"/>
        <w:ind w:firstLine="564" w:firstLineChars="201"/>
        <w:rPr>
          <w:rFonts w:cs="楷体" w:asciiTheme="majorEastAsia" w:hAnsiTheme="majorEastAsia" w:eastAsiaTheme="majorEastAsia"/>
          <w:b/>
          <w:bCs/>
          <w:sz w:val="28"/>
          <w:szCs w:val="28"/>
        </w:rPr>
      </w:pPr>
      <w:r>
        <w:rPr>
          <w:rFonts w:hint="eastAsia" w:cs="楷体" w:asciiTheme="majorEastAsia" w:hAnsiTheme="majorEastAsia" w:eastAsiaTheme="majorEastAsia"/>
          <w:b/>
          <w:bCs/>
          <w:sz w:val="28"/>
          <w:szCs w:val="28"/>
        </w:rPr>
        <w:t>2、医药机构申诉反馈服务</w:t>
      </w:r>
    </w:p>
    <w:p>
      <w:pPr>
        <w:adjustRightInd w:val="0"/>
        <w:snapToGrid w:val="0"/>
        <w:spacing w:line="588" w:lineRule="exact"/>
        <w:ind w:firstLine="562" w:firstLineChars="201"/>
        <w:rPr>
          <w:rFonts w:asciiTheme="majorEastAsia" w:hAnsiTheme="majorEastAsia" w:eastAsiaTheme="majorEastAsia"/>
          <w:sz w:val="28"/>
          <w:szCs w:val="28"/>
        </w:rPr>
      </w:pPr>
      <w:r>
        <w:rPr>
          <w:rFonts w:asciiTheme="majorEastAsia" w:hAnsiTheme="majorEastAsia" w:eastAsiaTheme="majorEastAsia"/>
          <w:sz w:val="28"/>
          <w:szCs w:val="28"/>
        </w:rPr>
        <w:t>1</w:t>
      </w:r>
      <w:r>
        <w:rPr>
          <w:rFonts w:hint="eastAsia" w:asciiTheme="majorEastAsia" w:hAnsiTheme="majorEastAsia" w:eastAsiaTheme="majorEastAsia"/>
          <w:sz w:val="28"/>
          <w:szCs w:val="28"/>
        </w:rPr>
        <w:t>）通过线上回复定点医药机构关于智能监管子系统功能使用和审核规则的疑问并进行沟通和答疑；</w:t>
      </w:r>
    </w:p>
    <w:p>
      <w:pPr>
        <w:adjustRightInd w:val="0"/>
        <w:snapToGrid w:val="0"/>
        <w:spacing w:line="588" w:lineRule="exact"/>
        <w:ind w:firstLine="562" w:firstLineChars="201"/>
        <w:rPr>
          <w:rFonts w:asciiTheme="majorEastAsia" w:hAnsiTheme="majorEastAsia" w:eastAsiaTheme="majorEastAsia"/>
          <w:sz w:val="28"/>
          <w:szCs w:val="28"/>
        </w:rPr>
      </w:pPr>
      <w:r>
        <w:rPr>
          <w:rFonts w:asciiTheme="majorEastAsia" w:hAnsiTheme="majorEastAsia" w:eastAsiaTheme="majorEastAsia"/>
          <w:sz w:val="28"/>
          <w:szCs w:val="28"/>
        </w:rPr>
        <w:t>2</w:t>
      </w:r>
      <w:r>
        <w:rPr>
          <w:rFonts w:hint="eastAsia" w:asciiTheme="majorEastAsia" w:hAnsiTheme="majorEastAsia" w:eastAsiaTheme="majorEastAsia"/>
          <w:sz w:val="28"/>
          <w:szCs w:val="28"/>
        </w:rPr>
        <w:t>）处理定点医药机构申诉信息；</w:t>
      </w:r>
    </w:p>
    <w:p>
      <w:pPr>
        <w:adjustRightInd w:val="0"/>
        <w:snapToGrid w:val="0"/>
        <w:spacing w:line="588"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3</w:t>
      </w:r>
      <w:r>
        <w:rPr>
          <w:rFonts w:hint="eastAsia" w:asciiTheme="majorEastAsia" w:hAnsiTheme="majorEastAsia" w:eastAsiaTheme="majorEastAsia"/>
          <w:sz w:val="28"/>
          <w:szCs w:val="28"/>
        </w:rPr>
        <w:t>）申诉反馈结果导入系统；</w:t>
      </w:r>
    </w:p>
    <w:p>
      <w:pPr>
        <w:adjustRightInd w:val="0"/>
        <w:snapToGrid w:val="0"/>
        <w:spacing w:line="588"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4）运用智能监管系统对全市定点医药机构进行抽查。</w:t>
      </w:r>
    </w:p>
    <w:p>
      <w:pPr>
        <w:adjustRightInd w:val="0"/>
        <w:snapToGrid w:val="0"/>
        <w:spacing w:line="588" w:lineRule="exact"/>
        <w:ind w:firstLine="642" w:firstLineChars="200"/>
        <w:jc w:val="left"/>
        <w:rPr>
          <w:rFonts w:ascii="黑体" w:hAnsi="黑体" w:eastAsia="黑体"/>
          <w:b/>
          <w:sz w:val="32"/>
          <w:szCs w:val="32"/>
        </w:rPr>
      </w:pPr>
      <w:r>
        <w:rPr>
          <w:rFonts w:hint="eastAsia" w:ascii="黑体" w:hAnsi="黑体" w:eastAsia="黑体"/>
          <w:b/>
          <w:sz w:val="32"/>
          <w:szCs w:val="32"/>
        </w:rPr>
        <w:t>三、项目预算</w:t>
      </w:r>
    </w:p>
    <w:p>
      <w:pPr>
        <w:adjustRightInd w:val="0"/>
        <w:snapToGrid w:val="0"/>
        <w:spacing w:line="588" w:lineRule="exact"/>
        <w:ind w:firstLine="560" w:firstLineChars="200"/>
        <w:jc w:val="left"/>
        <w:rPr>
          <w:rFonts w:asciiTheme="majorEastAsia" w:hAnsiTheme="majorEastAsia" w:eastAsiaTheme="majorEastAsia"/>
          <w:sz w:val="28"/>
          <w:szCs w:val="28"/>
        </w:rPr>
      </w:pPr>
      <w:bookmarkStart w:id="0" w:name="_Hlk80227301"/>
      <w:r>
        <w:rPr>
          <w:rFonts w:hint="eastAsia" w:asciiTheme="majorEastAsia" w:hAnsiTheme="majorEastAsia" w:eastAsiaTheme="majorEastAsia"/>
          <w:sz w:val="28"/>
          <w:szCs w:val="28"/>
        </w:rPr>
        <w:t>本项目服务费参考湖北省财政厅关于印发《湖北省省级信息化类项目支出预算编制标准（试行）》的通知（鄂财预发〔2020〕43号）进行估算。</w:t>
      </w:r>
    </w:p>
    <w:bookmarkEnd w:id="0"/>
    <w:p>
      <w:pPr>
        <w:adjustRightInd w:val="0"/>
        <w:snapToGrid w:val="0"/>
        <w:spacing w:line="588" w:lineRule="exact"/>
        <w:ind w:firstLine="562" w:firstLineChars="200"/>
        <w:jc w:val="left"/>
        <w:rPr>
          <w:rFonts w:asciiTheme="majorEastAsia" w:hAnsiTheme="majorEastAsia" w:eastAsiaTheme="majorEastAsia"/>
          <w:b/>
          <w:sz w:val="28"/>
          <w:szCs w:val="28"/>
        </w:rPr>
      </w:pPr>
      <w:bookmarkStart w:id="1" w:name="_Toc4458"/>
      <w:bookmarkStart w:id="2" w:name="_Toc80364696"/>
      <w:bookmarkStart w:id="3" w:name="_Toc80631859"/>
      <w:r>
        <w:rPr>
          <w:rFonts w:hint="eastAsia" w:asciiTheme="majorEastAsia" w:hAnsiTheme="majorEastAsia" w:eastAsiaTheme="majorEastAsia"/>
          <w:b/>
          <w:sz w:val="28"/>
          <w:szCs w:val="28"/>
        </w:rPr>
        <w:t>（一）投资预算</w:t>
      </w:r>
      <w:bookmarkEnd w:id="1"/>
      <w:bookmarkEnd w:id="2"/>
      <w:bookmarkEnd w:id="3"/>
    </w:p>
    <w:p>
      <w:pPr>
        <w:adjustRightInd w:val="0"/>
        <w:snapToGrid w:val="0"/>
        <w:spacing w:line="588"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项目总投资预算为25 万元。具体投资预算见附表。</w:t>
      </w:r>
    </w:p>
    <w:p>
      <w:pPr>
        <w:adjustRightInd w:val="0"/>
        <w:snapToGrid w:val="0"/>
        <w:spacing w:line="588" w:lineRule="exact"/>
        <w:ind w:firstLine="562" w:firstLineChars="200"/>
        <w:jc w:val="left"/>
        <w:rPr>
          <w:rFonts w:asciiTheme="majorEastAsia" w:hAnsiTheme="majorEastAsia" w:eastAsiaTheme="majorEastAsia"/>
          <w:b/>
          <w:sz w:val="28"/>
          <w:szCs w:val="28"/>
        </w:rPr>
      </w:pPr>
      <w:bookmarkStart w:id="4" w:name="_Toc80364697"/>
      <w:bookmarkStart w:id="5" w:name="_Toc10352"/>
      <w:bookmarkStart w:id="6" w:name="_Toc80631860"/>
      <w:r>
        <w:rPr>
          <w:rFonts w:hint="eastAsia" w:asciiTheme="majorEastAsia" w:hAnsiTheme="majorEastAsia" w:eastAsiaTheme="majorEastAsia"/>
          <w:b/>
          <w:sz w:val="28"/>
          <w:szCs w:val="28"/>
        </w:rPr>
        <w:t>（二）资金筹措计划</w:t>
      </w:r>
      <w:bookmarkEnd w:id="4"/>
      <w:bookmarkEnd w:id="5"/>
      <w:bookmarkEnd w:id="6"/>
    </w:p>
    <w:p>
      <w:pPr>
        <w:adjustRightInd w:val="0"/>
        <w:snapToGrid w:val="0"/>
        <w:spacing w:line="588"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本项目资金来源为：省市两级财政资金。</w:t>
      </w:r>
    </w:p>
    <w:p/>
    <w:tbl>
      <w:tblPr>
        <w:tblStyle w:val="4"/>
        <w:tblW w:w="0" w:type="auto"/>
        <w:tblInd w:w="392" w:type="dxa"/>
        <w:tblLayout w:type="fixed"/>
        <w:tblCellMar>
          <w:top w:w="0" w:type="dxa"/>
          <w:left w:w="108" w:type="dxa"/>
          <w:bottom w:w="0" w:type="dxa"/>
          <w:right w:w="108" w:type="dxa"/>
        </w:tblCellMar>
      </w:tblPr>
      <w:tblGrid>
        <w:gridCol w:w="2268"/>
        <w:gridCol w:w="4592"/>
        <w:gridCol w:w="1176"/>
      </w:tblGrid>
      <w:tr>
        <w:tblPrEx>
          <w:tblCellMar>
            <w:top w:w="0" w:type="dxa"/>
            <w:left w:w="108" w:type="dxa"/>
            <w:bottom w:w="0" w:type="dxa"/>
            <w:right w:w="108" w:type="dxa"/>
          </w:tblCellMar>
        </w:tblPrEx>
        <w:trPr>
          <w:trHeight w:val="315" w:hRule="atLeast"/>
        </w:trPr>
        <w:tc>
          <w:tcPr>
            <w:tcW w:w="8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sz w:val="24"/>
              </w:rPr>
              <w:t>智能审核服务价格表</w:t>
            </w:r>
          </w:p>
        </w:tc>
      </w:tr>
      <w:tr>
        <w:tblPrEx>
          <w:tblCellMar>
            <w:top w:w="0" w:type="dxa"/>
            <w:left w:w="108" w:type="dxa"/>
            <w:bottom w:w="0" w:type="dxa"/>
            <w:right w:w="108" w:type="dxa"/>
          </w:tblCellMar>
        </w:tblPrEx>
        <w:trPr>
          <w:trHeight w:val="31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rPr>
              <w:t>服务内容</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rPr>
              <w:t>服务事项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4"/>
              </w:rPr>
            </w:pPr>
            <w:r>
              <w:rPr>
                <w:rFonts w:hint="eastAsia" w:ascii="宋体" w:hAnsi="宋体" w:cs="宋体"/>
                <w:color w:val="000000"/>
                <w:sz w:val="24"/>
              </w:rPr>
              <w:t>价格（元）</w:t>
            </w:r>
          </w:p>
        </w:tc>
      </w:tr>
      <w:tr>
        <w:tblPrEx>
          <w:tblCellMar>
            <w:top w:w="0" w:type="dxa"/>
            <w:left w:w="108" w:type="dxa"/>
            <w:bottom w:w="0" w:type="dxa"/>
            <w:right w:w="108" w:type="dxa"/>
          </w:tblCellMar>
        </w:tblPrEx>
        <w:trPr>
          <w:trHeight w:val="105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4"/>
              </w:rPr>
            </w:pPr>
            <w:r>
              <w:rPr>
                <w:rFonts w:hint="eastAsia" w:ascii="宋体" w:hAnsi="宋体"/>
                <w:color w:val="000000"/>
                <w:sz w:val="24"/>
                <w:lang w:val="zh-CN"/>
              </w:rPr>
              <w:t>机审配置服务</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lang w:val="zh-CN"/>
              </w:rPr>
              <w:t>规则遴选、系统配置：</w:t>
            </w:r>
            <w:r>
              <w:rPr>
                <w:rFonts w:hint="eastAsia" w:ascii="宋体" w:hAnsi="宋体" w:cs="宋体"/>
                <w:color w:val="000000"/>
                <w:kern w:val="0"/>
                <w:szCs w:val="21"/>
              </w:rPr>
              <w:t>完成咸宁市智能监管规则建立工作，包含但不限于按照国家、省、市医疗保障局要求进行规则配置、新增；</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40000</w:t>
            </w:r>
          </w:p>
        </w:tc>
      </w:tr>
      <w:tr>
        <w:tblPrEx>
          <w:tblCellMar>
            <w:top w:w="0" w:type="dxa"/>
            <w:left w:w="108" w:type="dxa"/>
            <w:bottom w:w="0" w:type="dxa"/>
            <w:right w:w="108" w:type="dxa"/>
          </w:tblCellMar>
        </w:tblPrEx>
        <w:trPr>
          <w:trHeight w:val="322"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4"/>
              </w:rPr>
            </w:pPr>
            <w:r>
              <w:rPr>
                <w:rFonts w:hint="eastAsia" w:ascii="宋体" w:hAnsi="宋体" w:cs="宋体"/>
                <w:color w:val="000000"/>
                <w:kern w:val="0"/>
                <w:sz w:val="24"/>
              </w:rPr>
              <w:t>智能审核初审筛查</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1：下载核查初审结果；</w:t>
            </w:r>
          </w:p>
          <w:p>
            <w:pPr>
              <w:jc w:val="left"/>
              <w:textAlignment w:val="center"/>
              <w:rPr>
                <w:rFonts w:ascii="宋体" w:hAnsi="宋体" w:cs="宋体"/>
                <w:color w:val="000000"/>
                <w:kern w:val="0"/>
                <w:szCs w:val="21"/>
              </w:rPr>
            </w:pPr>
            <w:r>
              <w:rPr>
                <w:rFonts w:hint="eastAsia" w:ascii="宋体" w:hAnsi="宋体" w:cs="宋体"/>
                <w:color w:val="000000"/>
                <w:kern w:val="0"/>
                <w:szCs w:val="21"/>
              </w:rPr>
              <w:t>2：按规则对结果进行核验，筛选出可执行扣款的规则，在系统操作完成初审；</w:t>
            </w:r>
          </w:p>
          <w:p>
            <w:pPr>
              <w:jc w:val="left"/>
              <w:textAlignment w:val="center"/>
              <w:rPr>
                <w:rFonts w:ascii="宋体" w:hAnsi="宋体" w:cs="宋体"/>
                <w:color w:val="000000"/>
                <w:szCs w:val="21"/>
              </w:rPr>
            </w:pPr>
            <w:r>
              <w:rPr>
                <w:rFonts w:hint="eastAsia" w:ascii="宋体" w:hAnsi="宋体" w:cs="宋体"/>
                <w:color w:val="000000"/>
                <w:kern w:val="0"/>
                <w:szCs w:val="21"/>
              </w:rPr>
              <w:t>3：对可扣款规则下的扣款明细进行复核，剔除有疑点的扣款明细。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rPr>
              <w:t>40000</w:t>
            </w:r>
          </w:p>
        </w:tc>
      </w:tr>
      <w:tr>
        <w:tblPrEx>
          <w:tblCellMar>
            <w:top w:w="0" w:type="dxa"/>
            <w:left w:w="108" w:type="dxa"/>
            <w:bottom w:w="0" w:type="dxa"/>
            <w:right w:w="108" w:type="dxa"/>
          </w:tblCellMar>
        </w:tblPrEx>
        <w:trPr>
          <w:trHeight w:val="52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4"/>
              </w:rPr>
            </w:pPr>
            <w:r>
              <w:rPr>
                <w:rFonts w:hint="eastAsia" w:ascii="宋体" w:hAnsi="宋体" w:cs="宋体"/>
                <w:color w:val="000000"/>
                <w:kern w:val="0"/>
                <w:sz w:val="24"/>
              </w:rPr>
              <w:t>医疗机构申诉反馈</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1：通过线上回复定点医药机构关于智能监管子系统功能使用和审核规则的疑问进行沟通和答疑；</w:t>
            </w:r>
          </w:p>
          <w:p>
            <w:pPr>
              <w:jc w:val="left"/>
              <w:textAlignment w:val="center"/>
              <w:rPr>
                <w:rFonts w:ascii="宋体" w:hAnsi="宋体" w:cs="宋体"/>
                <w:color w:val="000000"/>
                <w:kern w:val="0"/>
                <w:szCs w:val="21"/>
              </w:rPr>
            </w:pPr>
            <w:r>
              <w:rPr>
                <w:rFonts w:hint="eastAsia" w:ascii="宋体" w:hAnsi="宋体" w:cs="宋体"/>
                <w:color w:val="000000"/>
                <w:kern w:val="0"/>
                <w:szCs w:val="21"/>
              </w:rPr>
              <w:t>2：协助</w:t>
            </w:r>
            <w:r>
              <w:rPr>
                <w:rFonts w:ascii="宋体" w:hAnsi="宋体" w:cs="宋体"/>
                <w:color w:val="000000"/>
                <w:kern w:val="0"/>
                <w:szCs w:val="21"/>
              </w:rPr>
              <w:t>医保局相关科室</w:t>
            </w:r>
            <w:r>
              <w:rPr>
                <w:rFonts w:hint="eastAsia" w:ascii="宋体" w:hAnsi="宋体" w:cs="宋体"/>
                <w:color w:val="000000"/>
                <w:kern w:val="0"/>
                <w:szCs w:val="21"/>
              </w:rPr>
              <w:t>处理医疗机构反馈信息；</w:t>
            </w:r>
          </w:p>
          <w:p>
            <w:pPr>
              <w:jc w:val="left"/>
              <w:textAlignment w:val="center"/>
              <w:rPr>
                <w:rFonts w:ascii="宋体" w:hAnsi="宋体" w:cs="宋体"/>
                <w:color w:val="000000"/>
                <w:szCs w:val="21"/>
              </w:rPr>
            </w:pPr>
            <w:r>
              <w:rPr>
                <w:rFonts w:hint="eastAsia" w:ascii="宋体" w:hAnsi="宋体" w:cs="宋体"/>
                <w:color w:val="000000"/>
                <w:kern w:val="0"/>
                <w:szCs w:val="21"/>
              </w:rPr>
              <w:t>3：申诉反馈结果导入系统。</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rPr>
              <w:t>120000</w:t>
            </w:r>
          </w:p>
        </w:tc>
      </w:tr>
      <w:tr>
        <w:tblPrEx>
          <w:tblCellMar>
            <w:top w:w="0" w:type="dxa"/>
            <w:left w:w="108" w:type="dxa"/>
            <w:bottom w:w="0" w:type="dxa"/>
            <w:right w:w="108" w:type="dxa"/>
          </w:tblCellMar>
        </w:tblPrEx>
        <w:trPr>
          <w:trHeight w:val="52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4"/>
              </w:rPr>
            </w:pPr>
            <w:r>
              <w:rPr>
                <w:rFonts w:hint="eastAsia" w:ascii="宋体" w:hAnsi="宋体" w:cs="宋体"/>
                <w:color w:val="000000"/>
                <w:kern w:val="0"/>
                <w:sz w:val="24"/>
              </w:rPr>
              <w:t>结果报告提交</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1：每月根据省医疗保障平台智能审核系统机审结果进行</w:t>
            </w:r>
            <w:r>
              <w:rPr>
                <w:rFonts w:ascii="宋体" w:hAnsi="宋体" w:cs="宋体"/>
                <w:color w:val="000000"/>
                <w:kern w:val="0"/>
                <w:szCs w:val="21"/>
              </w:rPr>
              <w:t>数据处理后</w:t>
            </w:r>
            <w:r>
              <w:rPr>
                <w:rFonts w:hint="eastAsia" w:ascii="宋体" w:hAnsi="宋体" w:cs="宋体"/>
                <w:color w:val="000000"/>
                <w:kern w:val="0"/>
                <w:szCs w:val="21"/>
              </w:rPr>
              <w:t>提交初审数据分析报告；</w:t>
            </w:r>
          </w:p>
          <w:p>
            <w:pPr>
              <w:jc w:val="left"/>
              <w:textAlignment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：每月根据省医疗保障平台智能审核系统的最终扣费</w:t>
            </w:r>
            <w:r>
              <w:rPr>
                <w:rFonts w:ascii="宋体" w:hAnsi="宋体" w:cs="宋体"/>
                <w:color w:val="000000"/>
                <w:kern w:val="0"/>
                <w:szCs w:val="21"/>
              </w:rPr>
              <w:t>情况</w:t>
            </w:r>
            <w:r>
              <w:rPr>
                <w:rFonts w:hint="eastAsia" w:ascii="宋体" w:hAnsi="宋体" w:cs="宋体"/>
                <w:color w:val="000000"/>
                <w:kern w:val="0"/>
                <w:szCs w:val="21"/>
              </w:rPr>
              <w:t>提交终审数据分析报告。</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rPr>
              <w:t>15000</w:t>
            </w:r>
          </w:p>
        </w:tc>
      </w:tr>
      <w:tr>
        <w:tblPrEx>
          <w:tblCellMar>
            <w:top w:w="0" w:type="dxa"/>
            <w:left w:w="108" w:type="dxa"/>
            <w:bottom w:w="0" w:type="dxa"/>
            <w:right w:w="108" w:type="dxa"/>
          </w:tblCellMar>
        </w:tblPrEx>
        <w:trPr>
          <w:trHeight w:val="52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4"/>
              </w:rPr>
            </w:pPr>
            <w:r>
              <w:rPr>
                <w:rFonts w:hint="eastAsia" w:ascii="宋体" w:hAnsi="宋体"/>
                <w:color w:val="000000"/>
                <w:sz w:val="24"/>
                <w:lang w:val="zh-CN"/>
              </w:rPr>
              <w:t>疑点数据梳理</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val="zh-CN"/>
              </w:rPr>
            </w:pPr>
            <w:r>
              <w:rPr>
                <w:rFonts w:hint="eastAsia" w:ascii="宋体" w:hAnsi="宋体" w:cs="宋体"/>
                <w:color w:val="000000"/>
                <w:kern w:val="0"/>
                <w:szCs w:val="21"/>
                <w:lang w:val="zh-CN"/>
              </w:rPr>
              <w:t>1：查看每月审核结果，对系统机审的结果进行核验；</w:t>
            </w:r>
          </w:p>
          <w:p>
            <w:pPr>
              <w:jc w:val="left"/>
              <w:textAlignment w:val="center"/>
              <w:rPr>
                <w:rFonts w:ascii="宋体" w:hAnsi="宋体" w:cs="宋体"/>
                <w:color w:val="000000"/>
                <w:kern w:val="0"/>
                <w:szCs w:val="21"/>
                <w:lang w:val="zh-CN"/>
              </w:rPr>
            </w:pPr>
            <w:r>
              <w:rPr>
                <w:rFonts w:hint="eastAsia" w:ascii="宋体" w:hAnsi="宋体" w:cs="宋体"/>
                <w:color w:val="000000"/>
                <w:kern w:val="0"/>
                <w:szCs w:val="21"/>
                <w:lang w:val="zh-CN"/>
              </w:rPr>
              <w:t>2：梳理可疑规则，交由医保局确定疑点筛查；</w:t>
            </w:r>
          </w:p>
          <w:p>
            <w:pPr>
              <w:jc w:val="left"/>
              <w:textAlignment w:val="center"/>
              <w:rPr>
                <w:rFonts w:ascii="宋体" w:hAnsi="宋体" w:cs="宋体"/>
                <w:color w:val="000000"/>
                <w:kern w:val="0"/>
                <w:szCs w:val="21"/>
                <w:lang w:val="zh-CN"/>
              </w:rPr>
            </w:pPr>
            <w:r>
              <w:rPr>
                <w:rFonts w:hint="eastAsia" w:ascii="宋体" w:hAnsi="宋体" w:cs="宋体"/>
                <w:color w:val="000000"/>
                <w:kern w:val="0"/>
                <w:szCs w:val="21"/>
                <w:lang w:val="zh-CN"/>
              </w:rPr>
              <w:t>3：对可疑单据进行系统操作，下发/正常登记；</w:t>
            </w:r>
          </w:p>
          <w:p>
            <w:pPr>
              <w:jc w:val="left"/>
              <w:textAlignment w:val="center"/>
              <w:rPr>
                <w:rFonts w:ascii="宋体" w:hAnsi="宋体" w:cs="宋体"/>
                <w:color w:val="000000"/>
                <w:kern w:val="0"/>
                <w:szCs w:val="21"/>
              </w:rPr>
            </w:pPr>
            <w:r>
              <w:rPr>
                <w:rFonts w:hint="eastAsia" w:ascii="宋体" w:hAnsi="宋体" w:cs="宋体"/>
                <w:color w:val="000000"/>
                <w:kern w:val="0"/>
                <w:szCs w:val="21"/>
                <w:lang w:val="zh-CN"/>
              </w:rPr>
              <w:t>4：按照医保局管理、稽核要求通过省平台数据中台提交数据统计表、数据分析表。</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20000</w:t>
            </w:r>
          </w:p>
        </w:tc>
      </w:tr>
      <w:tr>
        <w:tblPrEx>
          <w:tblCellMar>
            <w:top w:w="0" w:type="dxa"/>
            <w:left w:w="108" w:type="dxa"/>
            <w:bottom w:w="0" w:type="dxa"/>
            <w:right w:w="108" w:type="dxa"/>
          </w:tblCellMar>
        </w:tblPrEx>
        <w:trPr>
          <w:trHeight w:val="1124"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4"/>
              </w:rPr>
            </w:pPr>
            <w:r>
              <w:rPr>
                <w:rFonts w:hint="eastAsia" w:ascii="宋体" w:hAnsi="宋体" w:cs="宋体"/>
                <w:color w:val="000000"/>
                <w:sz w:val="24"/>
              </w:rPr>
              <w:t>培训</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1：按医保局管理要求进行局内相关部门培训；</w:t>
            </w:r>
          </w:p>
          <w:p>
            <w:pPr>
              <w:jc w:val="left"/>
              <w:textAlignment w:val="center"/>
              <w:rPr>
                <w:rFonts w:ascii="宋体" w:hAnsi="宋体" w:cs="宋体"/>
                <w:color w:val="000000"/>
                <w:szCs w:val="21"/>
              </w:rPr>
            </w:pPr>
            <w:r>
              <w:rPr>
                <w:rFonts w:hint="eastAsia" w:ascii="宋体" w:hAnsi="宋体" w:cs="宋体"/>
                <w:color w:val="000000"/>
                <w:kern w:val="0"/>
                <w:szCs w:val="21"/>
              </w:rPr>
              <w:t>2：根据医保局管理要求，由医保局组织，针对医疗机构进行培训。</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rPr>
              <w:t>15000</w:t>
            </w:r>
          </w:p>
        </w:tc>
      </w:tr>
      <w:tr>
        <w:tblPrEx>
          <w:tblCellMar>
            <w:top w:w="0" w:type="dxa"/>
            <w:left w:w="108" w:type="dxa"/>
            <w:bottom w:w="0" w:type="dxa"/>
            <w:right w:w="108" w:type="dxa"/>
          </w:tblCellMar>
        </w:tblPrEx>
        <w:trPr>
          <w:trHeight w:val="31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4"/>
              </w:rPr>
            </w:pPr>
            <w:r>
              <w:rPr>
                <w:rFonts w:hint="eastAsia" w:ascii="宋体" w:hAnsi="宋体" w:cs="宋体"/>
                <w:color w:val="000000"/>
                <w:kern w:val="0"/>
                <w:sz w:val="24"/>
              </w:rPr>
              <w:t>合计</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781"/>
              </w:tabs>
              <w:jc w:val="left"/>
              <w:rPr>
                <w:rFonts w:ascii="宋体" w:hAnsi="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rPr>
              <w:t>25</w:t>
            </w:r>
            <w:r>
              <w:rPr>
                <w:rFonts w:ascii="宋体" w:hAnsi="宋体" w:cs="宋体"/>
                <w:color w:val="000000"/>
                <w:kern w:val="0"/>
                <w:sz w:val="24"/>
              </w:rPr>
              <w:t>0</w:t>
            </w:r>
            <w:r>
              <w:rPr>
                <w:rFonts w:hint="eastAsia" w:ascii="宋体" w:hAnsi="宋体" w:cs="宋体"/>
                <w:color w:val="000000"/>
                <w:kern w:val="0"/>
                <w:sz w:val="24"/>
              </w:rPr>
              <w:t>000</w:t>
            </w:r>
          </w:p>
        </w:tc>
      </w:tr>
    </w:tbl>
    <w:p>
      <w:pPr>
        <w:spacing w:line="560" w:lineRule="atLeast"/>
        <w:rPr>
          <w:rFonts w:ascii="仿宋" w:hAnsi="仿宋" w:eastAsia="仿宋"/>
          <w:color w:val="333333"/>
          <w:sz w:val="32"/>
          <w:highlight w:val="white"/>
          <w:lang w:val="zh-CN"/>
        </w:rPr>
      </w:pPr>
    </w:p>
    <w:p>
      <w:pPr>
        <w:spacing w:line="560" w:lineRule="atLeast"/>
        <w:ind w:firstLine="420"/>
        <w:jc w:val="center"/>
        <w:rPr>
          <w:rFonts w:ascii="仿宋" w:hAnsi="仿宋" w:eastAsia="仿宋"/>
          <w:color w:val="333333"/>
          <w:sz w:val="32"/>
          <w:highlight w:val="white"/>
        </w:rPr>
      </w:pPr>
    </w:p>
    <w:p>
      <w:pPr>
        <w:spacing w:line="560" w:lineRule="atLeast"/>
        <w:ind w:firstLine="420"/>
        <w:jc w:val="center"/>
        <w:rPr>
          <w:rFonts w:asciiTheme="minorEastAsia" w:hAnsiTheme="minorEastAsia" w:eastAsiaTheme="minorEastAsia"/>
          <w:b/>
          <w:color w:val="333333"/>
          <w:sz w:val="28"/>
          <w:szCs w:val="28"/>
          <w:highlight w:val="white"/>
          <w:lang w:val="zh-CN"/>
        </w:rPr>
      </w:pPr>
      <w:r>
        <w:rPr>
          <w:rFonts w:hint="eastAsia" w:ascii="仿宋" w:hAnsi="仿宋" w:eastAsia="仿宋"/>
          <w:color w:val="333333"/>
          <w:sz w:val="32"/>
          <w:highlight w:val="white"/>
        </w:rPr>
        <w:t xml:space="preserve">                      </w:t>
      </w:r>
      <w:r>
        <w:rPr>
          <w:rFonts w:hint="eastAsia" w:asciiTheme="minorEastAsia" w:hAnsiTheme="minorEastAsia" w:eastAsiaTheme="minorEastAsia"/>
          <w:color w:val="333333"/>
          <w:sz w:val="28"/>
          <w:szCs w:val="28"/>
          <w:highlight w:val="white"/>
          <w:lang w:val="zh-CN"/>
        </w:rPr>
        <w:t>202</w:t>
      </w:r>
      <w:r>
        <w:rPr>
          <w:rFonts w:hint="eastAsia" w:asciiTheme="minorEastAsia" w:hAnsiTheme="minorEastAsia" w:eastAsiaTheme="minorEastAsia"/>
          <w:color w:val="333333"/>
          <w:sz w:val="28"/>
          <w:szCs w:val="28"/>
          <w:highlight w:val="white"/>
          <w:lang w:val="en-US" w:eastAsia="zh-CN"/>
        </w:rPr>
        <w:t>5</w:t>
      </w:r>
      <w:r>
        <w:rPr>
          <w:rFonts w:hint="eastAsia" w:asciiTheme="minorEastAsia" w:hAnsiTheme="minorEastAsia" w:eastAsiaTheme="minorEastAsia"/>
          <w:color w:val="333333"/>
          <w:sz w:val="28"/>
          <w:szCs w:val="28"/>
          <w:highlight w:val="white"/>
          <w:lang w:val="zh-CN"/>
        </w:rPr>
        <w:t>年</w:t>
      </w:r>
      <w:r>
        <w:rPr>
          <w:rFonts w:hint="eastAsia" w:asciiTheme="minorEastAsia" w:hAnsiTheme="minorEastAsia" w:eastAsiaTheme="minorEastAsia"/>
          <w:color w:val="333333"/>
          <w:sz w:val="28"/>
          <w:szCs w:val="28"/>
          <w:highlight w:val="white"/>
          <w:lang w:val="en-US" w:eastAsia="zh-CN"/>
        </w:rPr>
        <w:t>6</w:t>
      </w:r>
      <w:r>
        <w:rPr>
          <w:rFonts w:hint="eastAsia" w:asciiTheme="minorEastAsia" w:hAnsiTheme="minorEastAsia" w:eastAsiaTheme="minorEastAsia"/>
          <w:color w:val="333333"/>
          <w:sz w:val="28"/>
          <w:szCs w:val="28"/>
          <w:highlight w:val="white"/>
          <w:lang w:val="zh-CN"/>
        </w:rPr>
        <w:t>月</w:t>
      </w:r>
      <w:r>
        <w:rPr>
          <w:rFonts w:hint="eastAsia" w:asciiTheme="minorEastAsia" w:hAnsiTheme="minorEastAsia" w:eastAsiaTheme="minorEastAsia"/>
          <w:color w:val="333333"/>
          <w:sz w:val="28"/>
          <w:szCs w:val="28"/>
          <w:highlight w:val="white"/>
          <w:lang w:val="en-US" w:eastAsia="zh-CN"/>
        </w:rPr>
        <w:t>18</w:t>
      </w:r>
      <w:r>
        <w:rPr>
          <w:rFonts w:hint="eastAsia" w:asciiTheme="minorEastAsia" w:hAnsiTheme="minorEastAsia" w:eastAsiaTheme="minorEastAsia"/>
          <w:color w:val="333333"/>
          <w:sz w:val="28"/>
          <w:szCs w:val="28"/>
          <w:highlight w:val="white"/>
          <w:lang w:val="zh-CN"/>
        </w:rPr>
        <w:t>日</w:t>
      </w:r>
    </w:p>
    <w:p>
      <w:pPr>
        <w:rPr>
          <w:rFonts w:asciiTheme="minorEastAsia" w:hAnsiTheme="minorEastAsia" w:eastAsiaTheme="minorEastAsia"/>
          <w:sz w:val="28"/>
          <w:szCs w:val="28"/>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kMWY0Y2M2MGE4OThlZjQ2MjZhNWQzYjY2N2M2NDQifQ=="/>
  </w:docVars>
  <w:rsids>
    <w:rsidRoot w:val="00172A27"/>
    <w:rsid w:val="000E4E20"/>
    <w:rsid w:val="00116C9C"/>
    <w:rsid w:val="00141516"/>
    <w:rsid w:val="00172A27"/>
    <w:rsid w:val="00237946"/>
    <w:rsid w:val="00385624"/>
    <w:rsid w:val="00404EC0"/>
    <w:rsid w:val="00457734"/>
    <w:rsid w:val="00693FB8"/>
    <w:rsid w:val="008B481A"/>
    <w:rsid w:val="008D724F"/>
    <w:rsid w:val="009B340B"/>
    <w:rsid w:val="00AB2BED"/>
    <w:rsid w:val="00AE0827"/>
    <w:rsid w:val="00B13D14"/>
    <w:rsid w:val="00C47B21"/>
    <w:rsid w:val="00E160F9"/>
    <w:rsid w:val="00F05030"/>
    <w:rsid w:val="0A2873E7"/>
    <w:rsid w:val="0F7578D1"/>
    <w:rsid w:val="19F1325F"/>
    <w:rsid w:val="1C69015F"/>
    <w:rsid w:val="1E753099"/>
    <w:rsid w:val="1EA950C6"/>
    <w:rsid w:val="2CC42A18"/>
    <w:rsid w:val="3A341A17"/>
    <w:rsid w:val="3AE94B0A"/>
    <w:rsid w:val="41527951"/>
    <w:rsid w:val="44372E13"/>
    <w:rsid w:val="459D1C9B"/>
    <w:rsid w:val="46EF5732"/>
    <w:rsid w:val="47426AD8"/>
    <w:rsid w:val="4EA87094"/>
    <w:rsid w:val="4F14457A"/>
    <w:rsid w:val="52C87B55"/>
    <w:rsid w:val="535008A8"/>
    <w:rsid w:val="537C4673"/>
    <w:rsid w:val="59C13C86"/>
    <w:rsid w:val="5A6378FD"/>
    <w:rsid w:val="5F00690F"/>
    <w:rsid w:val="6006360B"/>
    <w:rsid w:val="659E79F5"/>
    <w:rsid w:val="67424EA0"/>
    <w:rsid w:val="6B2036AC"/>
    <w:rsid w:val="6E535416"/>
    <w:rsid w:val="73FB7F86"/>
    <w:rsid w:val="75713B73"/>
    <w:rsid w:val="77F643B7"/>
    <w:rsid w:val="786668C7"/>
    <w:rsid w:val="7B6D4FE9"/>
    <w:rsid w:val="7EEA0AA5"/>
    <w:rsid w:val="7F000C1A"/>
    <w:rsid w:val="7F246016"/>
    <w:rsid w:val="EFFF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8">
    <w:name w:val="List Paragraph"/>
    <w:basedOn w:val="1"/>
    <w:qFormat/>
    <w:uiPriority w:val="34"/>
    <w:pPr>
      <w:ind w:firstLine="420" w:firstLineChars="200"/>
    </w:pPr>
  </w:style>
  <w:style w:type="table" w:customStyle="1" w:styleId="9">
    <w:name w:val="网格型1"/>
    <w:basedOn w:val="4"/>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彩色列表 - 强调文字颜色 11"/>
    <w:basedOn w:val="1"/>
    <w:qFormat/>
    <w:uiPriority w:val="34"/>
    <w:pPr>
      <w:spacing w:after="200" w:line="276" w:lineRule="auto"/>
      <w:ind w:left="720"/>
      <w:contextualSpacing/>
    </w:pPr>
    <w:rPr>
      <w:sz w:val="22"/>
      <w:szCs w:val="22"/>
    </w:rPr>
  </w:style>
  <w:style w:type="paragraph" w:customStyle="1" w:styleId="11">
    <w:name w:val="正文2"/>
    <w:basedOn w:val="1"/>
    <w:qFormat/>
    <w:uiPriority w:val="0"/>
    <w:pPr>
      <w:widowControl w:val="0"/>
      <w:ind w:left="45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1292</Words>
  <Characters>1300</Characters>
  <Lines>45</Lines>
  <Paragraphs>12</Paragraphs>
  <TotalTime>72</TotalTime>
  <ScaleCrop>false</ScaleCrop>
  <LinksUpToDate>false</LinksUpToDate>
  <CharactersWithSpaces>1314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2022-08-10T16:18:00Z</dcterms:created>
  <dc:creator>Administrator</dc:creator>
  <cp:lastModifiedBy>lang123</cp:lastModifiedBy>
  <dcterms:modified xsi:type="dcterms:W3CDTF">2025-08-15T17:56:51Z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5AC9084C79B8403A8EAEBAC475EA33C0</vt:lpwstr>
  </property>
  <property fmtid="{D5CDD505-2E9C-101B-9397-08002B2CF9AE}" pid="4" name="KSOTemplateDocerSaveRecord">
    <vt:lpwstr>eyJoZGlkIjoiNjc5NTkxYTQ5YzQ3Y2NmZjQ3Y2E1YTk5NzIzZWRlYjMiLCJ1c2VySWQiOiI0MzgyODU3MDEifQ==</vt:lpwstr>
  </property>
</Properties>
</file>