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60"/>
        <w:gridCol w:w="450"/>
        <w:gridCol w:w="825"/>
        <w:gridCol w:w="675"/>
        <w:gridCol w:w="1635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咸宁市生育津贴“免申即享”信息提取表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职工姓名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生育医院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生育方式（顺或剖）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胎儿数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休假天数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职工个人联系方式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领款单位开户名</w:t>
            </w:r>
          </w:p>
        </w:tc>
        <w:tc>
          <w:tcPr>
            <w:tcW w:w="62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/>
          <w:sz w:val="28"/>
          <w:szCs w:val="28"/>
          <w:lang w:eastAsia="zh-CN"/>
        </w:rPr>
        <w:t>1、经市医保中心审核，于生育医疗费结算后5个工作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35" w:leftChars="969" w:firstLine="0" w:firstLineChars="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日内将生育津贴拨付至用人单位对公账户；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7" w:leftChars="0" w:firstLine="0" w:firstLineChars="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生育津贴拨付至用人单位对公银行账户后，由用人单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7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位按生育保险政策与参保职工进行结算。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0A6F1"/>
    <w:multiLevelType w:val="singleLevel"/>
    <w:tmpl w:val="62F0A6F1"/>
    <w:lvl w:ilvl="0" w:tentative="0">
      <w:start w:val="2"/>
      <w:numFmt w:val="decimal"/>
      <w:suff w:val="nothing"/>
      <w:lvlText w:val="%1、"/>
      <w:lvlJc w:val="left"/>
      <w:pPr>
        <w:ind w:left="153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7B591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customStyle="1" w:styleId="6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2021-08-27T15:39:53Z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